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E11F" w14:textId="0CEFECC7" w:rsidR="004E428A" w:rsidRPr="00D655D2" w:rsidRDefault="00ED29F0" w:rsidP="00371A1B">
      <w:pPr>
        <w:pBdr>
          <w:bottom w:val="single" w:sz="4" w:space="2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0424" w:rsidRPr="00D655D2">
        <w:rPr>
          <w:rFonts w:ascii="Times New Roman" w:hAnsi="Times New Roman" w:cs="Times New Roman"/>
          <w:b/>
          <w:sz w:val="28"/>
          <w:szCs w:val="24"/>
        </w:rPr>
        <w:t xml:space="preserve">OBRAZLOŽENJE UZ </w:t>
      </w:r>
      <w:r w:rsidR="00C60F67" w:rsidRPr="00D655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273E" w:rsidRPr="00D655D2">
        <w:rPr>
          <w:rFonts w:ascii="Times New Roman" w:hAnsi="Times New Roman" w:cs="Times New Roman"/>
          <w:b/>
          <w:sz w:val="28"/>
          <w:szCs w:val="24"/>
        </w:rPr>
        <w:t>POLUGODIŠNJI</w:t>
      </w:r>
      <w:r w:rsidR="00970424" w:rsidRPr="00D655D2">
        <w:rPr>
          <w:rFonts w:ascii="Times New Roman" w:hAnsi="Times New Roman" w:cs="Times New Roman"/>
          <w:b/>
          <w:sz w:val="28"/>
          <w:szCs w:val="24"/>
        </w:rPr>
        <w:t xml:space="preserve"> IZVJEŠTAJ</w:t>
      </w:r>
      <w:r w:rsidR="004E428A" w:rsidRPr="00D655D2">
        <w:rPr>
          <w:rFonts w:ascii="Times New Roman" w:hAnsi="Times New Roman" w:cs="Times New Roman"/>
          <w:b/>
          <w:sz w:val="28"/>
          <w:szCs w:val="24"/>
        </w:rPr>
        <w:t xml:space="preserve"> O IZVRŠENJU</w:t>
      </w:r>
      <w:r w:rsidR="00970424" w:rsidRPr="00D655D2">
        <w:rPr>
          <w:rFonts w:ascii="Times New Roman" w:hAnsi="Times New Roman" w:cs="Times New Roman"/>
          <w:b/>
          <w:sz w:val="28"/>
          <w:szCs w:val="24"/>
        </w:rPr>
        <w:t xml:space="preserve"> PRORAČUNA</w:t>
      </w:r>
      <w:r w:rsidR="00D655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0424" w:rsidRPr="00D655D2">
        <w:rPr>
          <w:rFonts w:ascii="Times New Roman" w:hAnsi="Times New Roman" w:cs="Times New Roman"/>
          <w:b/>
          <w:sz w:val="28"/>
          <w:szCs w:val="24"/>
        </w:rPr>
        <w:t xml:space="preserve">GRADA </w:t>
      </w:r>
      <w:r w:rsidR="004E273E" w:rsidRPr="00D655D2">
        <w:rPr>
          <w:rFonts w:ascii="Times New Roman" w:hAnsi="Times New Roman" w:cs="Times New Roman"/>
          <w:b/>
          <w:sz w:val="28"/>
          <w:szCs w:val="24"/>
        </w:rPr>
        <w:t xml:space="preserve">POREČA-PARENZO </w:t>
      </w:r>
      <w:r w:rsidR="00671FED" w:rsidRPr="00D655D2">
        <w:rPr>
          <w:rFonts w:ascii="Times New Roman" w:hAnsi="Times New Roman" w:cs="Times New Roman"/>
          <w:b/>
          <w:sz w:val="28"/>
          <w:szCs w:val="24"/>
        </w:rPr>
        <w:t>ZA 20</w:t>
      </w:r>
      <w:r w:rsidR="004860DA">
        <w:rPr>
          <w:rFonts w:ascii="Times New Roman" w:hAnsi="Times New Roman" w:cs="Times New Roman"/>
          <w:b/>
          <w:sz w:val="28"/>
          <w:szCs w:val="24"/>
        </w:rPr>
        <w:t>2</w:t>
      </w:r>
      <w:r w:rsidR="00466D80">
        <w:rPr>
          <w:rFonts w:ascii="Times New Roman" w:hAnsi="Times New Roman" w:cs="Times New Roman"/>
          <w:b/>
          <w:sz w:val="28"/>
          <w:szCs w:val="24"/>
        </w:rPr>
        <w:t>4</w:t>
      </w:r>
      <w:r w:rsidR="004E428A" w:rsidRPr="00D655D2">
        <w:rPr>
          <w:rFonts w:ascii="Times New Roman" w:hAnsi="Times New Roman" w:cs="Times New Roman"/>
          <w:b/>
          <w:sz w:val="28"/>
          <w:szCs w:val="24"/>
        </w:rPr>
        <w:t>. GODINU</w:t>
      </w:r>
    </w:p>
    <w:p w14:paraId="5CC05533" w14:textId="77777777" w:rsidR="008C4DC8" w:rsidRPr="00270A9B" w:rsidRDefault="008C4DC8" w:rsidP="008C4DC8">
      <w:pPr>
        <w:pStyle w:val="Odlomakpopisa"/>
        <w:ind w:left="1211"/>
        <w:rPr>
          <w:rFonts w:ascii="Times New Roman" w:hAnsi="Times New Roman" w:cs="Times New Roman"/>
          <w:b/>
          <w:sz w:val="28"/>
          <w:szCs w:val="28"/>
        </w:rPr>
      </w:pPr>
    </w:p>
    <w:p w14:paraId="599177CB" w14:textId="77777777" w:rsidR="00640021" w:rsidRPr="00270A9B" w:rsidRDefault="00640021" w:rsidP="006400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70A9B">
        <w:rPr>
          <w:rFonts w:ascii="Times New Roman" w:hAnsi="Times New Roman" w:cs="Times New Roman"/>
          <w:b/>
          <w:sz w:val="28"/>
          <w:szCs w:val="28"/>
        </w:rPr>
        <w:t>UVOD</w:t>
      </w:r>
    </w:p>
    <w:p w14:paraId="440503B7" w14:textId="77777777" w:rsidR="00A32EC2" w:rsidRDefault="00A32EC2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2DAC08" w14:textId="2A316539" w:rsidR="00640021" w:rsidRPr="00366D07" w:rsidRDefault="00640021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D07">
        <w:rPr>
          <w:rFonts w:ascii="Times New Roman" w:hAnsi="Times New Roman" w:cs="Times New Roman"/>
          <w:sz w:val="24"/>
          <w:szCs w:val="24"/>
        </w:rPr>
        <w:t xml:space="preserve">Zakonom </w:t>
      </w:r>
      <w:r w:rsidR="00FF3D9C" w:rsidRPr="00366D07">
        <w:rPr>
          <w:rFonts w:ascii="Times New Roman" w:hAnsi="Times New Roman" w:cs="Times New Roman"/>
          <w:sz w:val="24"/>
          <w:szCs w:val="24"/>
        </w:rPr>
        <w:t>o proračunu (NN</w:t>
      </w:r>
      <w:r w:rsidRPr="00366D07">
        <w:rPr>
          <w:rFonts w:ascii="Times New Roman" w:hAnsi="Times New Roman" w:cs="Times New Roman"/>
          <w:sz w:val="24"/>
          <w:szCs w:val="24"/>
        </w:rPr>
        <w:t xml:space="preserve"> broj </w:t>
      </w:r>
      <w:r w:rsidR="00CA1496">
        <w:rPr>
          <w:rFonts w:ascii="Times New Roman" w:hAnsi="Times New Roman" w:cs="Times New Roman"/>
          <w:sz w:val="24"/>
          <w:szCs w:val="24"/>
        </w:rPr>
        <w:t>144/2021</w:t>
      </w:r>
      <w:r w:rsidRPr="00366D07">
        <w:rPr>
          <w:rFonts w:ascii="Times New Roman" w:hAnsi="Times New Roman" w:cs="Times New Roman"/>
          <w:sz w:val="24"/>
          <w:szCs w:val="24"/>
        </w:rPr>
        <w:t>) propisana je ob</w:t>
      </w:r>
      <w:r w:rsidR="00AA5594" w:rsidRPr="00366D07">
        <w:rPr>
          <w:rFonts w:ascii="Times New Roman" w:hAnsi="Times New Roman" w:cs="Times New Roman"/>
          <w:sz w:val="24"/>
          <w:szCs w:val="24"/>
        </w:rPr>
        <w:t xml:space="preserve">veza sastavljanja i podnošenja </w:t>
      </w:r>
      <w:r w:rsidR="004E273E" w:rsidRPr="00366D07">
        <w:rPr>
          <w:rFonts w:ascii="Times New Roman" w:hAnsi="Times New Roman" w:cs="Times New Roman"/>
          <w:sz w:val="24"/>
          <w:szCs w:val="24"/>
        </w:rPr>
        <w:t>polug</w:t>
      </w:r>
      <w:r w:rsidRPr="00366D07">
        <w:rPr>
          <w:rFonts w:ascii="Times New Roman" w:hAnsi="Times New Roman" w:cs="Times New Roman"/>
          <w:sz w:val="24"/>
          <w:szCs w:val="24"/>
        </w:rPr>
        <w:t>odišnjeg izvještaja o izvršenju proračuna za</w:t>
      </w:r>
      <w:r w:rsidR="0004177D" w:rsidRPr="00366D07">
        <w:rPr>
          <w:rFonts w:ascii="Times New Roman" w:hAnsi="Times New Roman" w:cs="Times New Roman"/>
          <w:sz w:val="24"/>
          <w:szCs w:val="24"/>
        </w:rPr>
        <w:t xml:space="preserve"> </w:t>
      </w:r>
      <w:r w:rsidRPr="00366D07">
        <w:rPr>
          <w:rFonts w:ascii="Times New Roman" w:hAnsi="Times New Roman" w:cs="Times New Roman"/>
          <w:sz w:val="24"/>
          <w:szCs w:val="24"/>
        </w:rPr>
        <w:t xml:space="preserve">tekuću </w:t>
      </w:r>
      <w:r w:rsidR="00E17913" w:rsidRPr="00366D07">
        <w:rPr>
          <w:rFonts w:ascii="Times New Roman" w:hAnsi="Times New Roman" w:cs="Times New Roman"/>
          <w:sz w:val="24"/>
          <w:szCs w:val="24"/>
        </w:rPr>
        <w:t xml:space="preserve">proračunsku </w:t>
      </w:r>
      <w:r w:rsidRPr="00366D07">
        <w:rPr>
          <w:rFonts w:ascii="Times New Roman" w:hAnsi="Times New Roman" w:cs="Times New Roman"/>
          <w:sz w:val="24"/>
          <w:szCs w:val="24"/>
        </w:rPr>
        <w:t>godinu na donošenje predstavničkom tijelu JLS.</w:t>
      </w:r>
    </w:p>
    <w:p w14:paraId="32ED3EF9" w14:textId="77777777" w:rsidR="00A32EC2" w:rsidRDefault="00A32EC2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F43EBC" w14:textId="24678886" w:rsidR="00640021" w:rsidRDefault="00640021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D07">
        <w:rPr>
          <w:rFonts w:ascii="Times New Roman" w:hAnsi="Times New Roman" w:cs="Times New Roman"/>
          <w:sz w:val="24"/>
          <w:szCs w:val="24"/>
        </w:rPr>
        <w:t xml:space="preserve">Na sadržaj </w:t>
      </w:r>
      <w:r w:rsidR="002F0D52" w:rsidRPr="00366D07">
        <w:rPr>
          <w:rFonts w:ascii="Times New Roman" w:hAnsi="Times New Roman" w:cs="Times New Roman"/>
          <w:sz w:val="24"/>
          <w:szCs w:val="24"/>
        </w:rPr>
        <w:t>P</w:t>
      </w:r>
      <w:r w:rsidR="004E273E" w:rsidRPr="00366D07">
        <w:rPr>
          <w:rFonts w:ascii="Times New Roman" w:hAnsi="Times New Roman" w:cs="Times New Roman"/>
          <w:sz w:val="24"/>
          <w:szCs w:val="24"/>
        </w:rPr>
        <w:t>olu</w:t>
      </w:r>
      <w:r w:rsidRPr="00366D07">
        <w:rPr>
          <w:rFonts w:ascii="Times New Roman" w:hAnsi="Times New Roman" w:cs="Times New Roman"/>
          <w:sz w:val="24"/>
          <w:szCs w:val="24"/>
        </w:rPr>
        <w:t xml:space="preserve">godišnjeg izvještaja o izvršenju proračuna primjenjuje se odredba članka </w:t>
      </w:r>
      <w:r w:rsidR="002F6927">
        <w:rPr>
          <w:rFonts w:ascii="Times New Roman" w:hAnsi="Times New Roman" w:cs="Times New Roman"/>
          <w:sz w:val="24"/>
          <w:szCs w:val="24"/>
        </w:rPr>
        <w:t>76</w:t>
      </w:r>
      <w:r w:rsidRPr="00366D07">
        <w:rPr>
          <w:rFonts w:ascii="Times New Roman" w:hAnsi="Times New Roman" w:cs="Times New Roman"/>
          <w:sz w:val="24"/>
          <w:szCs w:val="24"/>
        </w:rPr>
        <w:t xml:space="preserve">. </w:t>
      </w:r>
      <w:r w:rsidR="00E17913" w:rsidRPr="00366D07">
        <w:rPr>
          <w:rFonts w:ascii="Times New Roman" w:hAnsi="Times New Roman" w:cs="Times New Roman"/>
          <w:sz w:val="24"/>
          <w:szCs w:val="24"/>
        </w:rPr>
        <w:t xml:space="preserve">stavka </w:t>
      </w:r>
      <w:r w:rsidR="002F6927">
        <w:rPr>
          <w:rFonts w:ascii="Times New Roman" w:hAnsi="Times New Roman" w:cs="Times New Roman"/>
          <w:sz w:val="24"/>
          <w:szCs w:val="24"/>
        </w:rPr>
        <w:t>1</w:t>
      </w:r>
      <w:r w:rsidR="00E17913" w:rsidRPr="00366D07">
        <w:rPr>
          <w:rFonts w:ascii="Times New Roman" w:hAnsi="Times New Roman" w:cs="Times New Roman"/>
          <w:sz w:val="24"/>
          <w:szCs w:val="24"/>
        </w:rPr>
        <w:t xml:space="preserve">. Zakona o proračunu, temeljem kojeg je donijet Pravilnik o polugodišnjem i godišnjem izvještaju o izvršenju proračuna (NN broj </w:t>
      </w:r>
      <w:r w:rsidR="00CA3FF5">
        <w:rPr>
          <w:rFonts w:ascii="Times New Roman" w:hAnsi="Times New Roman" w:cs="Times New Roman"/>
          <w:sz w:val="24"/>
          <w:szCs w:val="24"/>
        </w:rPr>
        <w:t>85/2023</w:t>
      </w:r>
      <w:r w:rsidR="00FD6FA5" w:rsidRPr="00366D07">
        <w:rPr>
          <w:rFonts w:ascii="Times New Roman" w:hAnsi="Times New Roman" w:cs="Times New Roman"/>
          <w:sz w:val="24"/>
          <w:szCs w:val="24"/>
        </w:rPr>
        <w:t>). Pravilnikom je propisan sadržaj polugodišnjeg izvještaja o i</w:t>
      </w:r>
      <w:r w:rsidR="00CA3FF5">
        <w:rPr>
          <w:rFonts w:ascii="Times New Roman" w:hAnsi="Times New Roman" w:cs="Times New Roman"/>
          <w:sz w:val="24"/>
          <w:szCs w:val="24"/>
        </w:rPr>
        <w:t>zvršenju proračuna, koji sadrži opći dio, posebni dio, obrazloženje i posebne izvještaje. Prihodi i primici, rashodi i izdaci u polugodišnjem izvještaju o izvršenju proračuna iskazuju se na razini odjeljka ekonomske klasifikacije (IV. razina)</w:t>
      </w:r>
      <w:r w:rsidR="00A00160">
        <w:rPr>
          <w:rFonts w:ascii="Times New Roman" w:hAnsi="Times New Roman" w:cs="Times New Roman"/>
          <w:sz w:val="24"/>
          <w:szCs w:val="24"/>
        </w:rPr>
        <w:t>.</w:t>
      </w:r>
    </w:p>
    <w:p w14:paraId="44318E0C" w14:textId="29107C0E" w:rsidR="00A00160" w:rsidRPr="00A00160" w:rsidRDefault="00A00160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Izvještaj o izvršenju proračuna na dan 30.06.202</w:t>
      </w:r>
      <w:r w:rsidR="00466D80">
        <w:rPr>
          <w:rFonts w:ascii="Times New Roman" w:hAnsi="Times New Roman" w:cs="Times New Roman"/>
          <w:sz w:val="24"/>
          <w:szCs w:val="24"/>
        </w:rPr>
        <w:t>4</w:t>
      </w:r>
      <w:r w:rsidRPr="00A00160">
        <w:rPr>
          <w:rFonts w:ascii="Times New Roman" w:hAnsi="Times New Roman" w:cs="Times New Roman"/>
          <w:sz w:val="24"/>
          <w:szCs w:val="24"/>
        </w:rPr>
        <w:t>. godine  sadrži:</w:t>
      </w:r>
    </w:p>
    <w:p w14:paraId="6D177A86" w14:textId="5613511B" w:rsidR="0004177D" w:rsidRPr="00A00160" w:rsidRDefault="00A0016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 xml:space="preserve">Sažetak </w:t>
      </w:r>
      <w:r w:rsidR="00FD6FA5" w:rsidRPr="00A00160">
        <w:rPr>
          <w:rFonts w:ascii="Times New Roman" w:hAnsi="Times New Roman" w:cs="Times New Roman"/>
          <w:sz w:val="24"/>
          <w:szCs w:val="24"/>
        </w:rPr>
        <w:t>Račun</w:t>
      </w:r>
      <w:r w:rsidRPr="00A00160">
        <w:rPr>
          <w:rFonts w:ascii="Times New Roman" w:hAnsi="Times New Roman" w:cs="Times New Roman"/>
          <w:sz w:val="24"/>
          <w:szCs w:val="24"/>
        </w:rPr>
        <w:t>a</w:t>
      </w:r>
      <w:r w:rsidR="00FD6FA5" w:rsidRPr="00A00160">
        <w:rPr>
          <w:rFonts w:ascii="Times New Roman" w:hAnsi="Times New Roman" w:cs="Times New Roman"/>
          <w:sz w:val="24"/>
          <w:szCs w:val="24"/>
        </w:rPr>
        <w:t xml:space="preserve"> prihoda i rashoda i Račun</w:t>
      </w:r>
      <w:r w:rsidRPr="00A00160">
        <w:rPr>
          <w:rFonts w:ascii="Times New Roman" w:hAnsi="Times New Roman" w:cs="Times New Roman"/>
          <w:sz w:val="24"/>
          <w:szCs w:val="24"/>
        </w:rPr>
        <w:t>a</w:t>
      </w:r>
      <w:r w:rsidR="00FD6FA5" w:rsidRPr="00A00160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2923D3" w:rsidRPr="00A00160">
        <w:rPr>
          <w:rFonts w:ascii="Times New Roman" w:hAnsi="Times New Roman" w:cs="Times New Roman"/>
          <w:sz w:val="24"/>
          <w:szCs w:val="24"/>
        </w:rPr>
        <w:t>,</w:t>
      </w:r>
    </w:p>
    <w:p w14:paraId="3E1B6B73" w14:textId="0554518C" w:rsidR="00A00160" w:rsidRPr="00A00160" w:rsidRDefault="00A0016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Račun prihoda i rashoda</w:t>
      </w:r>
    </w:p>
    <w:p w14:paraId="0EC9223B" w14:textId="6979524B" w:rsidR="00A00160" w:rsidRPr="00A00160" w:rsidRDefault="00A0016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Račun financiranja</w:t>
      </w:r>
    </w:p>
    <w:p w14:paraId="38C46AC7" w14:textId="4EADD135" w:rsidR="002923D3" w:rsidRPr="00A00160" w:rsidRDefault="00ED29F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23D3" w:rsidRPr="00A00160">
        <w:rPr>
          <w:rFonts w:ascii="Times New Roman" w:hAnsi="Times New Roman" w:cs="Times New Roman"/>
          <w:sz w:val="24"/>
          <w:szCs w:val="24"/>
        </w:rPr>
        <w:t>osebni dio proračuna po organizacijskoj i programskoj klasifikaciji na razini</w:t>
      </w:r>
    </w:p>
    <w:p w14:paraId="6241371F" w14:textId="77777777" w:rsidR="0004177D" w:rsidRPr="00A00160" w:rsidRDefault="002923D3" w:rsidP="00C305CC">
      <w:pPr>
        <w:pStyle w:val="Odlomakpopisa"/>
        <w:ind w:left="709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odjeljka ekonomske klasifikacije,</w:t>
      </w:r>
    </w:p>
    <w:p w14:paraId="7AEC9080" w14:textId="52EF2982" w:rsidR="002923D3" w:rsidRPr="00A00160" w:rsidRDefault="00ED29F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23D3" w:rsidRPr="00A00160">
        <w:rPr>
          <w:rFonts w:ascii="Times New Roman" w:hAnsi="Times New Roman" w:cs="Times New Roman"/>
          <w:sz w:val="24"/>
          <w:szCs w:val="24"/>
        </w:rPr>
        <w:t>zvještaj o zaduživanju na domaćem i stranom tržištu novca i kapitala,</w:t>
      </w:r>
    </w:p>
    <w:p w14:paraId="60708272" w14:textId="384DC6AB" w:rsidR="002923D3" w:rsidRPr="00A00160" w:rsidRDefault="00ED29F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23D3" w:rsidRPr="00A00160">
        <w:rPr>
          <w:rFonts w:ascii="Times New Roman" w:hAnsi="Times New Roman" w:cs="Times New Roman"/>
          <w:sz w:val="24"/>
          <w:szCs w:val="24"/>
        </w:rPr>
        <w:t>zvještaj o korištenju proračunske zalihe,</w:t>
      </w:r>
    </w:p>
    <w:p w14:paraId="57494AAC" w14:textId="13966D22" w:rsidR="002923D3" w:rsidRPr="00A00160" w:rsidRDefault="00ED29F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23D3" w:rsidRPr="00A00160">
        <w:rPr>
          <w:rFonts w:ascii="Times New Roman" w:hAnsi="Times New Roman" w:cs="Times New Roman"/>
          <w:sz w:val="24"/>
          <w:szCs w:val="24"/>
        </w:rPr>
        <w:t>zvještaj o danim jamstvima i izdacima po jamstvima,</w:t>
      </w:r>
    </w:p>
    <w:p w14:paraId="0CE66926" w14:textId="7497DACE" w:rsidR="00651060" w:rsidRPr="00A00160" w:rsidRDefault="00ED29F0" w:rsidP="00467F04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923D3" w:rsidRPr="00A00160">
        <w:rPr>
          <w:rFonts w:ascii="Times New Roman" w:hAnsi="Times New Roman" w:cs="Times New Roman"/>
          <w:sz w:val="24"/>
          <w:szCs w:val="24"/>
        </w:rPr>
        <w:t>brazloženje o</w:t>
      </w:r>
      <w:r w:rsidR="00A00160" w:rsidRPr="00A00160">
        <w:rPr>
          <w:rFonts w:ascii="Times New Roman" w:hAnsi="Times New Roman" w:cs="Times New Roman"/>
          <w:sz w:val="24"/>
          <w:szCs w:val="24"/>
        </w:rPr>
        <w:t xml:space="preserve">pćeg dijela izvještaja o izvršenju proračuna </w:t>
      </w:r>
    </w:p>
    <w:p w14:paraId="7E5C8C4D" w14:textId="6409B417" w:rsidR="00970424" w:rsidRPr="00AC01C0" w:rsidRDefault="00671FED" w:rsidP="001C3225">
      <w:pPr>
        <w:jc w:val="both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U skladu</w:t>
      </w:r>
      <w:r w:rsidR="002923D3" w:rsidRPr="00A00160">
        <w:rPr>
          <w:rFonts w:ascii="Times New Roman" w:hAnsi="Times New Roman" w:cs="Times New Roman"/>
          <w:sz w:val="24"/>
          <w:szCs w:val="24"/>
        </w:rPr>
        <w:t xml:space="preserve"> </w:t>
      </w:r>
      <w:r w:rsidR="00C60F67" w:rsidRPr="00A00160">
        <w:rPr>
          <w:rFonts w:ascii="Times New Roman" w:hAnsi="Times New Roman" w:cs="Times New Roman"/>
          <w:sz w:val="24"/>
          <w:szCs w:val="24"/>
        </w:rPr>
        <w:t xml:space="preserve">sa </w:t>
      </w:r>
      <w:r w:rsidR="002923D3" w:rsidRPr="00A00160">
        <w:rPr>
          <w:rFonts w:ascii="Times New Roman" w:hAnsi="Times New Roman" w:cs="Times New Roman"/>
          <w:sz w:val="24"/>
          <w:szCs w:val="24"/>
        </w:rPr>
        <w:t xml:space="preserve">zakonskom obvezom, sastavljen je </w:t>
      </w:r>
      <w:r w:rsidR="00FD6FA5" w:rsidRPr="00A00160">
        <w:rPr>
          <w:rFonts w:ascii="Times New Roman" w:hAnsi="Times New Roman" w:cs="Times New Roman"/>
          <w:sz w:val="24"/>
          <w:szCs w:val="24"/>
        </w:rPr>
        <w:t>Polug</w:t>
      </w:r>
      <w:r w:rsidR="002923D3" w:rsidRPr="00A00160">
        <w:rPr>
          <w:rFonts w:ascii="Times New Roman" w:hAnsi="Times New Roman" w:cs="Times New Roman"/>
          <w:sz w:val="24"/>
          <w:szCs w:val="24"/>
        </w:rPr>
        <w:t>odišnji izvještaj o izvršenju</w:t>
      </w:r>
      <w:r w:rsidR="0004177D" w:rsidRPr="00A00160">
        <w:rPr>
          <w:rFonts w:ascii="Times New Roman" w:hAnsi="Times New Roman" w:cs="Times New Roman"/>
          <w:sz w:val="24"/>
          <w:szCs w:val="24"/>
        </w:rPr>
        <w:t xml:space="preserve"> </w:t>
      </w:r>
      <w:r w:rsidRPr="00A00160">
        <w:rPr>
          <w:rFonts w:ascii="Times New Roman" w:hAnsi="Times New Roman" w:cs="Times New Roman"/>
          <w:sz w:val="24"/>
          <w:szCs w:val="24"/>
        </w:rPr>
        <w:t xml:space="preserve">Proračuna Grada </w:t>
      </w:r>
      <w:r w:rsidR="00FD6FA5" w:rsidRPr="00A00160">
        <w:rPr>
          <w:rFonts w:ascii="Times New Roman" w:hAnsi="Times New Roman" w:cs="Times New Roman"/>
          <w:sz w:val="24"/>
          <w:szCs w:val="24"/>
        </w:rPr>
        <w:t xml:space="preserve">Poreča-Parenzo </w:t>
      </w:r>
      <w:r w:rsidRPr="00A00160">
        <w:rPr>
          <w:rFonts w:ascii="Times New Roman" w:hAnsi="Times New Roman" w:cs="Times New Roman"/>
          <w:sz w:val="24"/>
          <w:szCs w:val="24"/>
        </w:rPr>
        <w:t>za 20</w:t>
      </w:r>
      <w:r w:rsidR="0005278E" w:rsidRPr="00A00160">
        <w:rPr>
          <w:rFonts w:ascii="Times New Roman" w:hAnsi="Times New Roman" w:cs="Times New Roman"/>
          <w:sz w:val="24"/>
          <w:szCs w:val="24"/>
        </w:rPr>
        <w:t>2</w:t>
      </w:r>
      <w:r w:rsidR="00466D80">
        <w:rPr>
          <w:rFonts w:ascii="Times New Roman" w:hAnsi="Times New Roman" w:cs="Times New Roman"/>
          <w:sz w:val="24"/>
          <w:szCs w:val="24"/>
        </w:rPr>
        <w:t>4</w:t>
      </w:r>
      <w:r w:rsidR="002923D3" w:rsidRPr="00A00160">
        <w:rPr>
          <w:rFonts w:ascii="Times New Roman" w:hAnsi="Times New Roman" w:cs="Times New Roman"/>
          <w:sz w:val="24"/>
          <w:szCs w:val="24"/>
        </w:rPr>
        <w:t xml:space="preserve">. </w:t>
      </w:r>
      <w:r w:rsidR="00162FEF" w:rsidRPr="00A00160">
        <w:rPr>
          <w:rFonts w:ascii="Times New Roman" w:hAnsi="Times New Roman" w:cs="Times New Roman"/>
          <w:sz w:val="24"/>
          <w:szCs w:val="24"/>
        </w:rPr>
        <w:t>g</w:t>
      </w:r>
      <w:r w:rsidR="002923D3" w:rsidRPr="00A00160">
        <w:rPr>
          <w:rFonts w:ascii="Times New Roman" w:hAnsi="Times New Roman" w:cs="Times New Roman"/>
          <w:sz w:val="24"/>
          <w:szCs w:val="24"/>
        </w:rPr>
        <w:t>odinu</w:t>
      </w:r>
      <w:r w:rsidR="00162FEF" w:rsidRPr="00A00160">
        <w:rPr>
          <w:rFonts w:ascii="Times New Roman" w:hAnsi="Times New Roman" w:cs="Times New Roman"/>
          <w:sz w:val="24"/>
          <w:szCs w:val="24"/>
        </w:rPr>
        <w:t>. Prema odredbama Zakona o proračunu podaci o izvršenju prihoda</w:t>
      </w:r>
      <w:r w:rsidR="0004177D" w:rsidRPr="00A00160">
        <w:rPr>
          <w:rFonts w:ascii="Times New Roman" w:hAnsi="Times New Roman" w:cs="Times New Roman"/>
          <w:sz w:val="24"/>
          <w:szCs w:val="24"/>
        </w:rPr>
        <w:t xml:space="preserve"> i primitaka te</w:t>
      </w:r>
      <w:r w:rsidR="00162FEF" w:rsidRPr="00A00160">
        <w:rPr>
          <w:rFonts w:ascii="Times New Roman" w:hAnsi="Times New Roman" w:cs="Times New Roman"/>
          <w:sz w:val="24"/>
          <w:szCs w:val="24"/>
        </w:rPr>
        <w:t xml:space="preserve"> rashoda</w:t>
      </w:r>
      <w:r w:rsidR="0004177D" w:rsidRPr="00A00160">
        <w:rPr>
          <w:rFonts w:ascii="Times New Roman" w:hAnsi="Times New Roman" w:cs="Times New Roman"/>
          <w:sz w:val="24"/>
          <w:szCs w:val="24"/>
        </w:rPr>
        <w:t xml:space="preserve"> i izdataka,</w:t>
      </w:r>
      <w:r w:rsidR="00162FEF" w:rsidRPr="00A00160">
        <w:rPr>
          <w:rFonts w:ascii="Times New Roman" w:hAnsi="Times New Roman" w:cs="Times New Roman"/>
          <w:sz w:val="24"/>
          <w:szCs w:val="24"/>
        </w:rPr>
        <w:t xml:space="preserve"> iskazani su na razini odj</w:t>
      </w:r>
      <w:r w:rsidR="0004177D" w:rsidRPr="00A00160">
        <w:rPr>
          <w:rFonts w:ascii="Times New Roman" w:hAnsi="Times New Roman" w:cs="Times New Roman"/>
          <w:sz w:val="24"/>
          <w:szCs w:val="24"/>
        </w:rPr>
        <w:t>eljka ekonomske klasifikacije (četvrta razina računskog plana</w:t>
      </w:r>
      <w:r w:rsidR="00162FEF" w:rsidRPr="00A00160">
        <w:rPr>
          <w:rFonts w:ascii="Times New Roman" w:hAnsi="Times New Roman" w:cs="Times New Roman"/>
          <w:sz w:val="24"/>
          <w:szCs w:val="24"/>
        </w:rPr>
        <w:t>), dok su podaci o planu iskazani na manje detalj</w:t>
      </w:r>
      <w:r w:rsidR="00ED29F0">
        <w:rPr>
          <w:rFonts w:ascii="Times New Roman" w:hAnsi="Times New Roman" w:cs="Times New Roman"/>
          <w:sz w:val="24"/>
          <w:szCs w:val="24"/>
        </w:rPr>
        <w:t xml:space="preserve">noj razini odnosno na razini </w:t>
      </w:r>
      <w:r w:rsidR="00162FEF" w:rsidRPr="00A00160">
        <w:rPr>
          <w:rFonts w:ascii="Times New Roman" w:hAnsi="Times New Roman" w:cs="Times New Roman"/>
          <w:sz w:val="24"/>
          <w:szCs w:val="24"/>
        </w:rPr>
        <w:t>skupine ekonoms</w:t>
      </w:r>
      <w:r w:rsidR="0004177D" w:rsidRPr="00A00160">
        <w:rPr>
          <w:rFonts w:ascii="Times New Roman" w:hAnsi="Times New Roman" w:cs="Times New Roman"/>
          <w:sz w:val="24"/>
          <w:szCs w:val="24"/>
        </w:rPr>
        <w:t>ke klasifikacije (</w:t>
      </w:r>
      <w:r w:rsidR="00ED29F0">
        <w:rPr>
          <w:rFonts w:ascii="Times New Roman" w:hAnsi="Times New Roman" w:cs="Times New Roman"/>
          <w:sz w:val="24"/>
          <w:szCs w:val="24"/>
        </w:rPr>
        <w:t>druga</w:t>
      </w:r>
      <w:r w:rsidR="00C60F67" w:rsidRPr="00A00160">
        <w:rPr>
          <w:rFonts w:ascii="Times New Roman" w:hAnsi="Times New Roman" w:cs="Times New Roman"/>
          <w:sz w:val="24"/>
          <w:szCs w:val="24"/>
        </w:rPr>
        <w:t xml:space="preserve"> razina računskog plana</w:t>
      </w:r>
      <w:r w:rsidR="00162FEF" w:rsidRPr="00A00160">
        <w:rPr>
          <w:rFonts w:ascii="Times New Roman" w:hAnsi="Times New Roman" w:cs="Times New Roman"/>
          <w:sz w:val="24"/>
          <w:szCs w:val="24"/>
        </w:rPr>
        <w:t>) sukl</w:t>
      </w:r>
      <w:r w:rsidRPr="00A00160">
        <w:rPr>
          <w:rFonts w:ascii="Times New Roman" w:hAnsi="Times New Roman" w:cs="Times New Roman"/>
          <w:sz w:val="24"/>
          <w:szCs w:val="24"/>
        </w:rPr>
        <w:t>adno usvojenom Proračunu za 20</w:t>
      </w:r>
      <w:r w:rsidR="0005278E" w:rsidRPr="00A00160">
        <w:rPr>
          <w:rFonts w:ascii="Times New Roman" w:hAnsi="Times New Roman" w:cs="Times New Roman"/>
          <w:sz w:val="24"/>
          <w:szCs w:val="24"/>
        </w:rPr>
        <w:t>2</w:t>
      </w:r>
      <w:r w:rsidR="00466D80">
        <w:rPr>
          <w:rFonts w:ascii="Times New Roman" w:hAnsi="Times New Roman" w:cs="Times New Roman"/>
          <w:sz w:val="24"/>
          <w:szCs w:val="24"/>
        </w:rPr>
        <w:t>4</w:t>
      </w:r>
      <w:r w:rsidR="00162FEF" w:rsidRPr="00A00160">
        <w:rPr>
          <w:rFonts w:ascii="Times New Roman" w:hAnsi="Times New Roman" w:cs="Times New Roman"/>
          <w:sz w:val="24"/>
          <w:szCs w:val="24"/>
        </w:rPr>
        <w:t xml:space="preserve">. </w:t>
      </w:r>
      <w:r w:rsidR="00A446FF" w:rsidRPr="00A00160">
        <w:rPr>
          <w:rFonts w:ascii="Times New Roman" w:hAnsi="Times New Roman" w:cs="Times New Roman"/>
          <w:sz w:val="24"/>
          <w:szCs w:val="24"/>
        </w:rPr>
        <w:t>g</w:t>
      </w:r>
      <w:r w:rsidR="00162FEF" w:rsidRPr="00A00160">
        <w:rPr>
          <w:rFonts w:ascii="Times New Roman" w:hAnsi="Times New Roman" w:cs="Times New Roman"/>
          <w:sz w:val="24"/>
          <w:szCs w:val="24"/>
        </w:rPr>
        <w:t>odinu.</w:t>
      </w:r>
    </w:p>
    <w:p w14:paraId="3F7F5A56" w14:textId="48C443ED" w:rsidR="007D3964" w:rsidRPr="00373509" w:rsidRDefault="009E4FD5" w:rsidP="009E4FD5">
      <w:pPr>
        <w:jc w:val="both"/>
        <w:rPr>
          <w:rFonts w:ascii="Times New Roman" w:hAnsi="Times New Roman" w:cs="Times New Roman"/>
          <w:sz w:val="24"/>
          <w:szCs w:val="24"/>
        </w:rPr>
      </w:pPr>
      <w:r w:rsidRPr="00AC01C0">
        <w:rPr>
          <w:rFonts w:ascii="Times New Roman" w:hAnsi="Times New Roman" w:cs="Times New Roman"/>
          <w:sz w:val="24"/>
          <w:szCs w:val="24"/>
        </w:rPr>
        <w:t>F</w:t>
      </w:r>
      <w:r w:rsidR="00162FEF" w:rsidRPr="00AC01C0">
        <w:rPr>
          <w:rFonts w:ascii="Times New Roman" w:hAnsi="Times New Roman" w:cs="Times New Roman"/>
          <w:sz w:val="24"/>
          <w:szCs w:val="24"/>
        </w:rPr>
        <w:t>inanciranje j</w:t>
      </w:r>
      <w:r w:rsidRPr="00AC01C0">
        <w:rPr>
          <w:rFonts w:ascii="Times New Roman" w:hAnsi="Times New Roman" w:cs="Times New Roman"/>
          <w:sz w:val="24"/>
          <w:szCs w:val="24"/>
        </w:rPr>
        <w:t xml:space="preserve">avnih rashoda Grada Poreča-Parenzo tijekom prve polovine </w:t>
      </w:r>
      <w:r w:rsidR="00671FED" w:rsidRPr="00AC01C0">
        <w:rPr>
          <w:rFonts w:ascii="Times New Roman" w:hAnsi="Times New Roman" w:cs="Times New Roman"/>
          <w:sz w:val="24"/>
          <w:szCs w:val="24"/>
        </w:rPr>
        <w:t>20</w:t>
      </w:r>
      <w:r w:rsidR="005D2B45" w:rsidRPr="00AC01C0">
        <w:rPr>
          <w:rFonts w:ascii="Times New Roman" w:hAnsi="Times New Roman" w:cs="Times New Roman"/>
          <w:sz w:val="24"/>
          <w:szCs w:val="24"/>
        </w:rPr>
        <w:t>2</w:t>
      </w:r>
      <w:r w:rsidR="00466D80">
        <w:rPr>
          <w:rFonts w:ascii="Times New Roman" w:hAnsi="Times New Roman" w:cs="Times New Roman"/>
          <w:sz w:val="24"/>
          <w:szCs w:val="24"/>
        </w:rPr>
        <w:t>4</w:t>
      </w:r>
      <w:r w:rsidR="00CD6939" w:rsidRPr="00AC01C0">
        <w:rPr>
          <w:rFonts w:ascii="Times New Roman" w:hAnsi="Times New Roman" w:cs="Times New Roman"/>
          <w:sz w:val="24"/>
          <w:szCs w:val="24"/>
        </w:rPr>
        <w:t>. godine</w:t>
      </w:r>
      <w:r w:rsidR="00162FEF" w:rsidRPr="00AC01C0">
        <w:rPr>
          <w:rFonts w:ascii="Times New Roman" w:hAnsi="Times New Roman" w:cs="Times New Roman"/>
          <w:sz w:val="24"/>
          <w:szCs w:val="24"/>
        </w:rPr>
        <w:t xml:space="preserve"> </w:t>
      </w:r>
      <w:r w:rsidRPr="00AC01C0">
        <w:rPr>
          <w:rFonts w:ascii="Times New Roman" w:hAnsi="Times New Roman" w:cs="Times New Roman"/>
          <w:sz w:val="24"/>
          <w:szCs w:val="24"/>
        </w:rPr>
        <w:t xml:space="preserve">izvršeno je temeljem </w:t>
      </w:r>
      <w:r w:rsidR="00671FED" w:rsidRPr="00AC01C0">
        <w:rPr>
          <w:rFonts w:ascii="Times New Roman" w:hAnsi="Times New Roman" w:cs="Times New Roman"/>
          <w:sz w:val="24"/>
          <w:szCs w:val="24"/>
        </w:rPr>
        <w:t>Proračun</w:t>
      </w:r>
      <w:r w:rsidRPr="00AC01C0">
        <w:rPr>
          <w:rFonts w:ascii="Times New Roman" w:hAnsi="Times New Roman" w:cs="Times New Roman"/>
          <w:sz w:val="24"/>
          <w:szCs w:val="24"/>
        </w:rPr>
        <w:t>a</w:t>
      </w:r>
      <w:r w:rsidR="00671FED" w:rsidRPr="00AC01C0">
        <w:rPr>
          <w:rFonts w:ascii="Times New Roman" w:hAnsi="Times New Roman" w:cs="Times New Roman"/>
          <w:sz w:val="24"/>
          <w:szCs w:val="24"/>
        </w:rPr>
        <w:t xml:space="preserve"> Grada </w:t>
      </w:r>
      <w:r w:rsidR="00C60F67" w:rsidRPr="00AC01C0">
        <w:rPr>
          <w:rFonts w:ascii="Times New Roman" w:hAnsi="Times New Roman" w:cs="Times New Roman"/>
          <w:sz w:val="24"/>
          <w:szCs w:val="24"/>
        </w:rPr>
        <w:t xml:space="preserve">Poreča-Parenzo </w:t>
      </w:r>
      <w:r w:rsidR="00671FED" w:rsidRPr="00AC01C0">
        <w:rPr>
          <w:rFonts w:ascii="Times New Roman" w:hAnsi="Times New Roman" w:cs="Times New Roman"/>
          <w:sz w:val="24"/>
          <w:szCs w:val="24"/>
        </w:rPr>
        <w:t>za 20</w:t>
      </w:r>
      <w:r w:rsidR="001E34E0" w:rsidRPr="00AC01C0">
        <w:rPr>
          <w:rFonts w:ascii="Times New Roman" w:hAnsi="Times New Roman" w:cs="Times New Roman"/>
          <w:sz w:val="24"/>
          <w:szCs w:val="24"/>
        </w:rPr>
        <w:t>2</w:t>
      </w:r>
      <w:r w:rsidR="00466D80">
        <w:rPr>
          <w:rFonts w:ascii="Times New Roman" w:hAnsi="Times New Roman" w:cs="Times New Roman"/>
          <w:sz w:val="24"/>
          <w:szCs w:val="24"/>
        </w:rPr>
        <w:t>4</w:t>
      </w:r>
      <w:r w:rsidR="006A511A" w:rsidRPr="00AC01C0">
        <w:rPr>
          <w:rFonts w:ascii="Times New Roman" w:hAnsi="Times New Roman" w:cs="Times New Roman"/>
          <w:sz w:val="24"/>
          <w:szCs w:val="24"/>
        </w:rPr>
        <w:t xml:space="preserve">. godinu i projekcija </w:t>
      </w:r>
      <w:r w:rsidR="00AC6EF9" w:rsidRPr="00AC01C0">
        <w:rPr>
          <w:rFonts w:ascii="Times New Roman" w:hAnsi="Times New Roman" w:cs="Times New Roman"/>
          <w:sz w:val="24"/>
          <w:szCs w:val="24"/>
        </w:rPr>
        <w:t>za 20</w:t>
      </w:r>
      <w:r w:rsidR="00331A81" w:rsidRPr="00AC01C0">
        <w:rPr>
          <w:rFonts w:ascii="Times New Roman" w:hAnsi="Times New Roman" w:cs="Times New Roman"/>
          <w:sz w:val="24"/>
          <w:szCs w:val="24"/>
        </w:rPr>
        <w:t>2</w:t>
      </w:r>
      <w:r w:rsidR="00466D80">
        <w:rPr>
          <w:rFonts w:ascii="Times New Roman" w:hAnsi="Times New Roman" w:cs="Times New Roman"/>
          <w:sz w:val="24"/>
          <w:szCs w:val="24"/>
        </w:rPr>
        <w:t>5</w:t>
      </w:r>
      <w:r w:rsidR="00AC6EF9" w:rsidRPr="00AC01C0">
        <w:rPr>
          <w:rFonts w:ascii="Times New Roman" w:hAnsi="Times New Roman" w:cs="Times New Roman"/>
          <w:sz w:val="24"/>
          <w:szCs w:val="24"/>
        </w:rPr>
        <w:t>. i 20</w:t>
      </w:r>
      <w:r w:rsidR="00DD28C5" w:rsidRPr="00AC01C0">
        <w:rPr>
          <w:rFonts w:ascii="Times New Roman" w:hAnsi="Times New Roman" w:cs="Times New Roman"/>
          <w:sz w:val="24"/>
          <w:szCs w:val="24"/>
        </w:rPr>
        <w:t>2</w:t>
      </w:r>
      <w:r w:rsidR="00466D80">
        <w:rPr>
          <w:rFonts w:ascii="Times New Roman" w:hAnsi="Times New Roman" w:cs="Times New Roman"/>
          <w:sz w:val="24"/>
          <w:szCs w:val="24"/>
        </w:rPr>
        <w:t>6</w:t>
      </w:r>
      <w:r w:rsidR="00AC6EF9" w:rsidRPr="00AC01C0">
        <w:rPr>
          <w:rFonts w:ascii="Times New Roman" w:hAnsi="Times New Roman" w:cs="Times New Roman"/>
          <w:sz w:val="24"/>
          <w:szCs w:val="24"/>
        </w:rPr>
        <w:t xml:space="preserve">. godinu </w:t>
      </w:r>
      <w:r w:rsidR="001076EF" w:rsidRPr="00AC01C0">
        <w:rPr>
          <w:rFonts w:ascii="Times New Roman" w:hAnsi="Times New Roman" w:cs="Times New Roman"/>
          <w:sz w:val="24"/>
          <w:szCs w:val="24"/>
        </w:rPr>
        <w:t>i</w:t>
      </w:r>
      <w:r w:rsidRPr="00AC01C0">
        <w:rPr>
          <w:rFonts w:ascii="Times New Roman" w:hAnsi="Times New Roman" w:cs="Times New Roman"/>
          <w:sz w:val="24"/>
          <w:szCs w:val="24"/>
        </w:rPr>
        <w:t xml:space="preserve"> Odluke</w:t>
      </w:r>
      <w:r w:rsidR="00A446FF" w:rsidRPr="00AC01C0">
        <w:rPr>
          <w:rFonts w:ascii="Times New Roman" w:hAnsi="Times New Roman" w:cs="Times New Roman"/>
          <w:sz w:val="24"/>
          <w:szCs w:val="24"/>
        </w:rPr>
        <w:t xml:space="preserve"> o izvršavan</w:t>
      </w:r>
      <w:r w:rsidR="00671FED" w:rsidRPr="00AC01C0">
        <w:rPr>
          <w:rFonts w:ascii="Times New Roman" w:hAnsi="Times New Roman" w:cs="Times New Roman"/>
          <w:sz w:val="24"/>
          <w:szCs w:val="24"/>
        </w:rPr>
        <w:t xml:space="preserve">ju Proračuna Grada </w:t>
      </w:r>
      <w:r w:rsidRPr="00AC01C0">
        <w:rPr>
          <w:rFonts w:ascii="Times New Roman" w:hAnsi="Times New Roman" w:cs="Times New Roman"/>
          <w:sz w:val="24"/>
          <w:szCs w:val="24"/>
        </w:rPr>
        <w:t>Poreča-Parenzo za 20</w:t>
      </w:r>
      <w:r w:rsidR="001E34E0" w:rsidRPr="00AC01C0">
        <w:rPr>
          <w:rFonts w:ascii="Times New Roman" w:hAnsi="Times New Roman" w:cs="Times New Roman"/>
          <w:sz w:val="24"/>
          <w:szCs w:val="24"/>
        </w:rPr>
        <w:t>2</w:t>
      </w:r>
      <w:r w:rsidR="00466D80">
        <w:rPr>
          <w:rFonts w:ascii="Times New Roman" w:hAnsi="Times New Roman" w:cs="Times New Roman"/>
          <w:sz w:val="24"/>
          <w:szCs w:val="24"/>
        </w:rPr>
        <w:t>4</w:t>
      </w:r>
      <w:r w:rsidR="001076EF" w:rsidRPr="00AC01C0">
        <w:rPr>
          <w:rFonts w:ascii="Times New Roman" w:hAnsi="Times New Roman" w:cs="Times New Roman"/>
          <w:sz w:val="24"/>
          <w:szCs w:val="24"/>
        </w:rPr>
        <w:t xml:space="preserve">. </w:t>
      </w:r>
      <w:r w:rsidR="00BD4466" w:rsidRPr="00AC01C0">
        <w:rPr>
          <w:rFonts w:ascii="Times New Roman" w:hAnsi="Times New Roman" w:cs="Times New Roman"/>
          <w:sz w:val="24"/>
          <w:szCs w:val="24"/>
        </w:rPr>
        <w:t>g</w:t>
      </w:r>
      <w:r w:rsidR="001076EF" w:rsidRPr="00AC01C0">
        <w:rPr>
          <w:rFonts w:ascii="Times New Roman" w:hAnsi="Times New Roman" w:cs="Times New Roman"/>
          <w:sz w:val="24"/>
          <w:szCs w:val="24"/>
        </w:rPr>
        <w:t>odin</w:t>
      </w:r>
      <w:r w:rsidRPr="00AC01C0">
        <w:rPr>
          <w:rFonts w:ascii="Times New Roman" w:hAnsi="Times New Roman" w:cs="Times New Roman"/>
          <w:sz w:val="24"/>
          <w:szCs w:val="24"/>
        </w:rPr>
        <w:t>u</w:t>
      </w:r>
      <w:r w:rsidR="00BD4466" w:rsidRPr="00AC01C0">
        <w:rPr>
          <w:rFonts w:ascii="Times New Roman" w:hAnsi="Times New Roman" w:cs="Times New Roman"/>
          <w:sz w:val="24"/>
          <w:szCs w:val="24"/>
        </w:rPr>
        <w:t>,</w:t>
      </w:r>
      <w:r w:rsidR="001076EF" w:rsidRPr="00AC01C0">
        <w:rPr>
          <w:rFonts w:ascii="Times New Roman" w:hAnsi="Times New Roman" w:cs="Times New Roman"/>
          <w:sz w:val="24"/>
          <w:szCs w:val="24"/>
        </w:rPr>
        <w:t xml:space="preserve"> usvojen</w:t>
      </w:r>
      <w:r w:rsidRPr="00AC01C0">
        <w:rPr>
          <w:rFonts w:ascii="Times New Roman" w:hAnsi="Times New Roman" w:cs="Times New Roman"/>
          <w:sz w:val="24"/>
          <w:szCs w:val="24"/>
        </w:rPr>
        <w:t>ih</w:t>
      </w:r>
      <w:r w:rsidR="001076EF" w:rsidRPr="00AC01C0">
        <w:rPr>
          <w:rFonts w:ascii="Times New Roman" w:hAnsi="Times New Roman" w:cs="Times New Roman"/>
          <w:sz w:val="24"/>
          <w:szCs w:val="24"/>
        </w:rPr>
        <w:t xml:space="preserve"> na sjednici Gradskog vijeća održanoj </w:t>
      </w:r>
      <w:r w:rsidR="00466D80">
        <w:rPr>
          <w:rFonts w:ascii="Times New Roman" w:hAnsi="Times New Roman" w:cs="Times New Roman"/>
          <w:sz w:val="24"/>
          <w:szCs w:val="24"/>
        </w:rPr>
        <w:t>14.12.2023.</w:t>
      </w:r>
      <w:r w:rsidR="007D3964" w:rsidRPr="00373509">
        <w:rPr>
          <w:rFonts w:ascii="Times New Roman" w:hAnsi="Times New Roman" w:cs="Times New Roman"/>
          <w:sz w:val="24"/>
          <w:szCs w:val="24"/>
        </w:rPr>
        <w:t xml:space="preserve"> </w:t>
      </w:r>
      <w:r w:rsidR="001076EF" w:rsidRPr="00373509">
        <w:rPr>
          <w:rFonts w:ascii="Times New Roman" w:hAnsi="Times New Roman" w:cs="Times New Roman"/>
          <w:sz w:val="24"/>
          <w:szCs w:val="24"/>
        </w:rPr>
        <w:t>godine (</w:t>
      </w:r>
      <w:r w:rsidR="008A2E01" w:rsidRPr="00373509">
        <w:rPr>
          <w:rFonts w:ascii="Times New Roman" w:hAnsi="Times New Roman" w:cs="Times New Roman"/>
          <w:sz w:val="24"/>
          <w:szCs w:val="24"/>
        </w:rPr>
        <w:t>„</w:t>
      </w:r>
      <w:r w:rsidR="001076EF" w:rsidRPr="00373509">
        <w:rPr>
          <w:rFonts w:ascii="Times New Roman" w:hAnsi="Times New Roman" w:cs="Times New Roman"/>
          <w:sz w:val="24"/>
          <w:szCs w:val="24"/>
        </w:rPr>
        <w:t>S</w:t>
      </w:r>
      <w:r w:rsidR="007D3964" w:rsidRPr="00373509">
        <w:rPr>
          <w:rFonts w:ascii="Times New Roman" w:hAnsi="Times New Roman" w:cs="Times New Roman"/>
          <w:sz w:val="24"/>
          <w:szCs w:val="24"/>
        </w:rPr>
        <w:t xml:space="preserve">lužbeni glasnik </w:t>
      </w:r>
      <w:r w:rsidR="00C60F67" w:rsidRPr="00373509">
        <w:rPr>
          <w:rFonts w:ascii="Times New Roman" w:hAnsi="Times New Roman" w:cs="Times New Roman"/>
          <w:sz w:val="24"/>
          <w:szCs w:val="24"/>
        </w:rPr>
        <w:t>Grada Poreča</w:t>
      </w:r>
      <w:r w:rsidR="00CE2DBA" w:rsidRPr="00373509">
        <w:rPr>
          <w:rFonts w:ascii="Times New Roman" w:hAnsi="Times New Roman" w:cs="Times New Roman"/>
          <w:sz w:val="24"/>
          <w:szCs w:val="24"/>
        </w:rPr>
        <w:t>-Parenzo</w:t>
      </w:r>
      <w:r w:rsidR="008A2E01" w:rsidRPr="00373509">
        <w:rPr>
          <w:rFonts w:ascii="Times New Roman" w:hAnsi="Times New Roman" w:cs="Times New Roman"/>
          <w:sz w:val="24"/>
          <w:szCs w:val="24"/>
        </w:rPr>
        <w:t>“</w:t>
      </w:r>
      <w:r w:rsidR="00C60F67" w:rsidRPr="00373509">
        <w:rPr>
          <w:rFonts w:ascii="Times New Roman" w:hAnsi="Times New Roman" w:cs="Times New Roman"/>
          <w:sz w:val="24"/>
          <w:szCs w:val="24"/>
        </w:rPr>
        <w:t xml:space="preserve"> </w:t>
      </w:r>
      <w:r w:rsidR="007D3964" w:rsidRPr="00373509">
        <w:rPr>
          <w:rFonts w:ascii="Times New Roman" w:hAnsi="Times New Roman" w:cs="Times New Roman"/>
          <w:sz w:val="24"/>
          <w:szCs w:val="24"/>
        </w:rPr>
        <w:t>br.</w:t>
      </w:r>
      <w:r w:rsidR="001076EF" w:rsidRPr="00373509">
        <w:rPr>
          <w:rFonts w:ascii="Times New Roman" w:hAnsi="Times New Roman" w:cs="Times New Roman"/>
          <w:sz w:val="24"/>
          <w:szCs w:val="24"/>
        </w:rPr>
        <w:t xml:space="preserve"> </w:t>
      </w:r>
      <w:r w:rsidR="00373509" w:rsidRPr="00373509">
        <w:rPr>
          <w:rFonts w:ascii="Times New Roman" w:hAnsi="Times New Roman" w:cs="Times New Roman"/>
          <w:sz w:val="24"/>
          <w:szCs w:val="24"/>
        </w:rPr>
        <w:t>1</w:t>
      </w:r>
      <w:r w:rsidR="00466D80">
        <w:rPr>
          <w:rFonts w:ascii="Times New Roman" w:hAnsi="Times New Roman" w:cs="Times New Roman"/>
          <w:sz w:val="24"/>
          <w:szCs w:val="24"/>
        </w:rPr>
        <w:t>9</w:t>
      </w:r>
      <w:r w:rsidR="001076EF" w:rsidRPr="00373509">
        <w:rPr>
          <w:rFonts w:ascii="Times New Roman" w:hAnsi="Times New Roman" w:cs="Times New Roman"/>
          <w:sz w:val="24"/>
          <w:szCs w:val="24"/>
        </w:rPr>
        <w:t>/20</w:t>
      </w:r>
      <w:r w:rsidR="00373509" w:rsidRPr="00373509">
        <w:rPr>
          <w:rFonts w:ascii="Times New Roman" w:hAnsi="Times New Roman" w:cs="Times New Roman"/>
          <w:sz w:val="24"/>
          <w:szCs w:val="24"/>
        </w:rPr>
        <w:t>2</w:t>
      </w:r>
      <w:r w:rsidR="00466D80">
        <w:rPr>
          <w:rFonts w:ascii="Times New Roman" w:hAnsi="Times New Roman" w:cs="Times New Roman"/>
          <w:sz w:val="24"/>
          <w:szCs w:val="24"/>
        </w:rPr>
        <w:t>3</w:t>
      </w:r>
      <w:r w:rsidR="001076EF" w:rsidRPr="00373509">
        <w:rPr>
          <w:rFonts w:ascii="Times New Roman" w:hAnsi="Times New Roman" w:cs="Times New Roman"/>
          <w:sz w:val="24"/>
          <w:szCs w:val="24"/>
        </w:rPr>
        <w:t>)</w:t>
      </w:r>
      <w:r w:rsidR="00061BC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61B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1BCC">
        <w:rPr>
          <w:rFonts w:ascii="Times New Roman" w:hAnsi="Times New Roman" w:cs="Times New Roman"/>
          <w:sz w:val="24"/>
          <w:szCs w:val="24"/>
        </w:rPr>
        <w:t>. Izmjena i dopuna Proračuna za 202</w:t>
      </w:r>
      <w:r w:rsidR="00466D80">
        <w:rPr>
          <w:rFonts w:ascii="Times New Roman" w:hAnsi="Times New Roman" w:cs="Times New Roman"/>
          <w:sz w:val="24"/>
          <w:szCs w:val="24"/>
        </w:rPr>
        <w:t>4</w:t>
      </w:r>
      <w:r w:rsidR="00061BCC">
        <w:rPr>
          <w:rFonts w:ascii="Times New Roman" w:hAnsi="Times New Roman" w:cs="Times New Roman"/>
          <w:sz w:val="24"/>
          <w:szCs w:val="24"/>
        </w:rPr>
        <w:t>. godinu usvojenih na sjednici Gradskog vije</w:t>
      </w:r>
      <w:r w:rsidR="00ED29F0">
        <w:rPr>
          <w:rFonts w:ascii="Times New Roman" w:hAnsi="Times New Roman" w:cs="Times New Roman"/>
          <w:sz w:val="24"/>
          <w:szCs w:val="24"/>
        </w:rPr>
        <w:t xml:space="preserve">ća održanoj </w:t>
      </w:r>
      <w:r w:rsidR="00466D80">
        <w:rPr>
          <w:rFonts w:ascii="Times New Roman" w:hAnsi="Times New Roman" w:cs="Times New Roman"/>
          <w:sz w:val="24"/>
          <w:szCs w:val="24"/>
        </w:rPr>
        <w:t>26</w:t>
      </w:r>
      <w:r w:rsidR="00ED29F0">
        <w:rPr>
          <w:rFonts w:ascii="Times New Roman" w:hAnsi="Times New Roman" w:cs="Times New Roman"/>
          <w:sz w:val="24"/>
          <w:szCs w:val="24"/>
        </w:rPr>
        <w:t>.06.202</w:t>
      </w:r>
      <w:r w:rsidR="00466D80">
        <w:rPr>
          <w:rFonts w:ascii="Times New Roman" w:hAnsi="Times New Roman" w:cs="Times New Roman"/>
          <w:sz w:val="24"/>
          <w:szCs w:val="24"/>
        </w:rPr>
        <w:t>4</w:t>
      </w:r>
      <w:r w:rsidR="00ED29F0">
        <w:rPr>
          <w:rFonts w:ascii="Times New Roman" w:hAnsi="Times New Roman" w:cs="Times New Roman"/>
          <w:sz w:val="24"/>
          <w:szCs w:val="24"/>
        </w:rPr>
        <w:t xml:space="preserve">. godine </w:t>
      </w:r>
      <w:r w:rsidR="00061BCC" w:rsidRPr="00373509">
        <w:rPr>
          <w:rFonts w:ascii="Times New Roman" w:hAnsi="Times New Roman" w:cs="Times New Roman"/>
          <w:sz w:val="24"/>
          <w:szCs w:val="24"/>
        </w:rPr>
        <w:t>(„Službeni glasnik Grada Poreča-Parenzo“</w:t>
      </w:r>
      <w:r w:rsidR="00061BCC">
        <w:rPr>
          <w:rFonts w:ascii="Times New Roman" w:hAnsi="Times New Roman" w:cs="Times New Roman"/>
          <w:sz w:val="24"/>
          <w:szCs w:val="24"/>
        </w:rPr>
        <w:t xml:space="preserve"> br. 1</w:t>
      </w:r>
      <w:r w:rsidR="00466D80">
        <w:rPr>
          <w:rFonts w:ascii="Times New Roman" w:hAnsi="Times New Roman" w:cs="Times New Roman"/>
          <w:sz w:val="24"/>
          <w:szCs w:val="24"/>
        </w:rPr>
        <w:t>1</w:t>
      </w:r>
      <w:r w:rsidR="00061BCC">
        <w:rPr>
          <w:rFonts w:ascii="Times New Roman" w:hAnsi="Times New Roman" w:cs="Times New Roman"/>
          <w:sz w:val="24"/>
          <w:szCs w:val="24"/>
        </w:rPr>
        <w:t>/202</w:t>
      </w:r>
      <w:r w:rsidR="00466D80">
        <w:rPr>
          <w:rFonts w:ascii="Times New Roman" w:hAnsi="Times New Roman" w:cs="Times New Roman"/>
          <w:sz w:val="24"/>
          <w:szCs w:val="24"/>
        </w:rPr>
        <w:t>4</w:t>
      </w:r>
      <w:r w:rsidR="00061BCC">
        <w:rPr>
          <w:rFonts w:ascii="Times New Roman" w:hAnsi="Times New Roman" w:cs="Times New Roman"/>
          <w:sz w:val="24"/>
          <w:szCs w:val="24"/>
        </w:rPr>
        <w:t>).</w:t>
      </w:r>
    </w:p>
    <w:p w14:paraId="73281F16" w14:textId="3C5DA314" w:rsidR="00C82466" w:rsidRPr="00367127" w:rsidRDefault="007D3964" w:rsidP="006976AF">
      <w:pPr>
        <w:jc w:val="both"/>
        <w:rPr>
          <w:rFonts w:ascii="Times New Roman" w:hAnsi="Times New Roman" w:cs="Times New Roman"/>
          <w:sz w:val="24"/>
          <w:szCs w:val="24"/>
        </w:rPr>
      </w:pPr>
      <w:r w:rsidRPr="00373509">
        <w:rPr>
          <w:rFonts w:ascii="Times New Roman" w:hAnsi="Times New Roman" w:cs="Times New Roman"/>
          <w:sz w:val="24"/>
          <w:szCs w:val="24"/>
        </w:rPr>
        <w:t xml:space="preserve">Grad Poreč-Parenzo </w:t>
      </w:r>
      <w:r w:rsidR="00B30C63" w:rsidRPr="00373509">
        <w:rPr>
          <w:rFonts w:ascii="Times New Roman" w:hAnsi="Times New Roman" w:cs="Times New Roman"/>
          <w:sz w:val="24"/>
          <w:szCs w:val="24"/>
        </w:rPr>
        <w:t>posluje put</w:t>
      </w:r>
      <w:r w:rsidR="00D155E6" w:rsidRPr="00373509">
        <w:rPr>
          <w:rFonts w:ascii="Times New Roman" w:hAnsi="Times New Roman" w:cs="Times New Roman"/>
          <w:sz w:val="24"/>
          <w:szCs w:val="24"/>
        </w:rPr>
        <w:t>em jedinstvenog računa riznice, odnosno jedinstvenog bankovnog računa. Time su objedinjena plaćanja, primanja, čuvanja i prijenos svih prihoda i p</w:t>
      </w:r>
      <w:r w:rsidR="00C60F67" w:rsidRPr="00373509">
        <w:rPr>
          <w:rFonts w:ascii="Times New Roman" w:hAnsi="Times New Roman" w:cs="Times New Roman"/>
          <w:sz w:val="24"/>
          <w:szCs w:val="24"/>
        </w:rPr>
        <w:t xml:space="preserve">rimitaka te rashoda i izdataka </w:t>
      </w:r>
      <w:r w:rsidR="00D155E6" w:rsidRPr="00373509">
        <w:rPr>
          <w:rFonts w:ascii="Times New Roman" w:hAnsi="Times New Roman" w:cs="Times New Roman"/>
          <w:sz w:val="24"/>
          <w:szCs w:val="24"/>
        </w:rPr>
        <w:t xml:space="preserve">gradskog proračuna i proračunskih korisnika tako da  je izvještaj </w:t>
      </w:r>
      <w:r w:rsidR="00D155E6" w:rsidRPr="00373509">
        <w:rPr>
          <w:rFonts w:ascii="Times New Roman" w:hAnsi="Times New Roman" w:cs="Times New Roman"/>
          <w:sz w:val="24"/>
          <w:szCs w:val="24"/>
        </w:rPr>
        <w:lastRenderedPageBreak/>
        <w:t xml:space="preserve">ujedno i konsolidirani. </w:t>
      </w:r>
      <w:r w:rsidR="00D155E6" w:rsidRPr="00367127">
        <w:rPr>
          <w:rFonts w:ascii="Times New Roman" w:hAnsi="Times New Roman" w:cs="Times New Roman"/>
          <w:sz w:val="24"/>
          <w:szCs w:val="24"/>
        </w:rPr>
        <w:t xml:space="preserve">Konsolidirani su </w:t>
      </w:r>
      <w:r w:rsidR="00880788" w:rsidRPr="00367127">
        <w:rPr>
          <w:rFonts w:ascii="Times New Roman" w:hAnsi="Times New Roman" w:cs="Times New Roman"/>
          <w:sz w:val="24"/>
          <w:szCs w:val="24"/>
        </w:rPr>
        <w:t>sljedeći pror</w:t>
      </w:r>
      <w:r w:rsidR="00C60F67" w:rsidRPr="00367127">
        <w:rPr>
          <w:rFonts w:ascii="Times New Roman" w:hAnsi="Times New Roman" w:cs="Times New Roman"/>
          <w:sz w:val="24"/>
          <w:szCs w:val="24"/>
        </w:rPr>
        <w:t xml:space="preserve">ačunski korisnici evidentirani </w:t>
      </w:r>
      <w:r w:rsidR="00880788" w:rsidRPr="00367127">
        <w:rPr>
          <w:rFonts w:ascii="Times New Roman" w:hAnsi="Times New Roman" w:cs="Times New Roman"/>
          <w:sz w:val="24"/>
          <w:szCs w:val="24"/>
        </w:rPr>
        <w:t>u Registru korisnika proračuna RH.</w:t>
      </w:r>
    </w:p>
    <w:p w14:paraId="399A3857" w14:textId="77777777" w:rsidR="00371A1B" w:rsidRPr="00367127" w:rsidRDefault="00371A1B" w:rsidP="00A32EC2">
      <w:pPr>
        <w:pStyle w:val="Odlomakpopis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127">
        <w:rPr>
          <w:rFonts w:ascii="Times New Roman" w:hAnsi="Times New Roman" w:cs="Times New Roman"/>
          <w:sz w:val="24"/>
          <w:szCs w:val="24"/>
        </w:rPr>
        <w:t>Temeljem decentralizacije:</w:t>
      </w:r>
    </w:p>
    <w:tbl>
      <w:tblPr>
        <w:tblW w:w="79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2"/>
        <w:gridCol w:w="864"/>
        <w:gridCol w:w="1505"/>
      </w:tblGrid>
      <w:tr w:rsidR="00367127" w:rsidRPr="00367127" w14:paraId="25413D25" w14:textId="77777777" w:rsidTr="00E41EB2">
        <w:trPr>
          <w:gridAfter w:val="1"/>
          <w:wAfter w:w="1505" w:type="dxa"/>
          <w:trHeight w:val="281"/>
        </w:trPr>
        <w:tc>
          <w:tcPr>
            <w:tcW w:w="6466" w:type="dxa"/>
            <w:gridSpan w:val="2"/>
            <w:noWrap/>
            <w:vAlign w:val="bottom"/>
            <w:hideMark/>
          </w:tcPr>
          <w:p w14:paraId="6C7024D0" w14:textId="77777777" w:rsidR="00371A1B" w:rsidRPr="00367127" w:rsidRDefault="0063285C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Javna vatrogasna postrojba</w:t>
            </w:r>
            <w:r w:rsidR="00371A1B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C77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Centar za zaštitu od požara 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Poreč</w:t>
            </w:r>
          </w:p>
        </w:tc>
      </w:tr>
      <w:tr w:rsidR="00367127" w:rsidRPr="00367127" w14:paraId="5561A355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52D37867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Osnovna škola 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Poreč</w:t>
            </w:r>
          </w:p>
          <w:p w14:paraId="15BED798" w14:textId="77777777" w:rsidR="0063285C" w:rsidRPr="00367127" w:rsidRDefault="0063285C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Osnovna škola Finida</w:t>
            </w:r>
            <w:r w:rsidR="001839F6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127" w:rsidRPr="00367127" w14:paraId="7AD4C7BB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1DC3C7CD" w14:textId="77777777" w:rsidR="00371A1B" w:rsidRPr="00367127" w:rsidRDefault="005A6D09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Talijanska o</w:t>
            </w:r>
            <w:r w:rsidR="00371A1B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snovna škola </w:t>
            </w:r>
            <w:r w:rsidR="0063285C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Bernardo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Parentin</w:t>
            </w:r>
          </w:p>
        </w:tc>
      </w:tr>
      <w:tr w:rsidR="00367127" w:rsidRPr="00367127" w14:paraId="46C2B685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4FFF3CFB" w14:textId="77777777" w:rsidR="00371A1B" w:rsidRPr="00367127" w:rsidRDefault="00053F79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Umjetnička škola Poreč</w:t>
            </w:r>
          </w:p>
          <w:p w14:paraId="0DD34054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79381" w14:textId="77777777" w:rsidR="00371A1B" w:rsidRPr="00367127" w:rsidRDefault="00371A1B" w:rsidP="00A32EC2">
            <w:pPr>
              <w:pStyle w:val="Odlomakpopis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hAnsi="Times New Roman" w:cs="Times New Roman"/>
                <w:sz w:val="24"/>
                <w:szCs w:val="24"/>
              </w:rPr>
              <w:t>Ustanove u vlasništvu grada:</w:t>
            </w:r>
          </w:p>
        </w:tc>
      </w:tr>
      <w:tr w:rsidR="00367127" w:rsidRPr="00367127" w14:paraId="6EEA072E" w14:textId="77777777" w:rsidTr="00E41EB2">
        <w:trPr>
          <w:gridAfter w:val="2"/>
          <w:wAfter w:w="2369" w:type="dxa"/>
          <w:trHeight w:val="281"/>
        </w:trPr>
        <w:tc>
          <w:tcPr>
            <w:tcW w:w="5602" w:type="dxa"/>
            <w:noWrap/>
            <w:vAlign w:val="bottom"/>
            <w:hideMark/>
          </w:tcPr>
          <w:p w14:paraId="36E0F37E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Dječji vrtić 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Radost</w:t>
            </w:r>
          </w:p>
        </w:tc>
      </w:tr>
      <w:tr w:rsidR="00367127" w:rsidRPr="00367127" w14:paraId="7A68BE8C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23226AD2" w14:textId="77777777" w:rsidR="00371A1B" w:rsidRPr="00367127" w:rsidRDefault="0063285C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371A1B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ječji vrtić 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Paperino</w:t>
            </w:r>
            <w:proofErr w:type="spellEnd"/>
          </w:p>
        </w:tc>
      </w:tr>
      <w:tr w:rsidR="00367127" w:rsidRPr="00367127" w14:paraId="3127576D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1F62ECE9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Pučko otvoreno učilište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Poreč</w:t>
            </w:r>
          </w:p>
        </w:tc>
      </w:tr>
      <w:tr w:rsidR="00367127" w:rsidRPr="00367127" w14:paraId="517D4E26" w14:textId="77777777" w:rsidTr="00E41EB2">
        <w:trPr>
          <w:gridAfter w:val="2"/>
          <w:wAfter w:w="2369" w:type="dxa"/>
          <w:trHeight w:val="281"/>
        </w:trPr>
        <w:tc>
          <w:tcPr>
            <w:tcW w:w="5602" w:type="dxa"/>
            <w:noWrap/>
            <w:vAlign w:val="bottom"/>
            <w:hideMark/>
          </w:tcPr>
          <w:p w14:paraId="4D51AD97" w14:textId="77777777" w:rsidR="00371A1B" w:rsidRPr="00367127" w:rsidRDefault="007D3964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Zavičajni muzej </w:t>
            </w:r>
            <w:r w:rsidR="00401AAA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Poreštine</w:t>
            </w:r>
          </w:p>
        </w:tc>
      </w:tr>
      <w:tr w:rsidR="00367127" w:rsidRPr="00367127" w14:paraId="348B4933" w14:textId="77777777" w:rsidTr="00E41EB2">
        <w:trPr>
          <w:gridAfter w:val="2"/>
          <w:wAfter w:w="2369" w:type="dxa"/>
          <w:trHeight w:val="281"/>
        </w:trPr>
        <w:tc>
          <w:tcPr>
            <w:tcW w:w="5602" w:type="dxa"/>
            <w:noWrap/>
            <w:vAlign w:val="bottom"/>
            <w:hideMark/>
          </w:tcPr>
          <w:p w14:paraId="4F2BEEE8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Gradska knjižnica</w:t>
            </w:r>
            <w:r w:rsidR="0063285C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Poreč</w:t>
            </w:r>
          </w:p>
          <w:p w14:paraId="637911B9" w14:textId="77777777" w:rsidR="00566C77" w:rsidRPr="00367127" w:rsidRDefault="00566C77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Centar za pružanje usluga u zajednici Zdravi Grad Poreč-Parenzo</w:t>
            </w:r>
          </w:p>
          <w:p w14:paraId="36A9BF13" w14:textId="77777777" w:rsidR="00371A1B" w:rsidRPr="00367127" w:rsidRDefault="00371A1B" w:rsidP="00A3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3FFB7" w14:textId="77777777" w:rsidR="00367127" w:rsidRDefault="00367127" w:rsidP="00A32EC2">
            <w:pPr>
              <w:spacing w:after="0" w:line="240" w:lineRule="auto"/>
              <w:ind w:firstLine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671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Vijeća nacionalnih manjina</w:t>
            </w:r>
            <w:r w:rsidRPr="003671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45D1B7" w14:textId="77777777" w:rsidR="00367127" w:rsidRPr="00367127" w:rsidRDefault="00367127" w:rsidP="00A32EC2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127" w:rsidRPr="00367127" w14:paraId="08850A34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5E83FCC5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Vijeće</w:t>
            </w:r>
            <w:r w:rsidR="00401AAA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Talijanske nacionalne manjine </w:t>
            </w:r>
          </w:p>
        </w:tc>
      </w:tr>
      <w:tr w:rsidR="00367127" w:rsidRPr="00367127" w14:paraId="5DA12A97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72E5314C" w14:textId="77777777" w:rsidR="00371A1B" w:rsidRPr="00367127" w:rsidRDefault="00401AAA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Vijeće Albanske  </w:t>
            </w:r>
            <w:r w:rsidR="00371A1B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nacionalne manjine</w:t>
            </w:r>
          </w:p>
        </w:tc>
      </w:tr>
      <w:tr w:rsidR="00367127" w:rsidRPr="00367127" w14:paraId="14C91B44" w14:textId="77777777" w:rsidTr="00E41EB2">
        <w:trPr>
          <w:gridAfter w:val="2"/>
          <w:wAfter w:w="2369" w:type="dxa"/>
          <w:trHeight w:val="75"/>
        </w:trPr>
        <w:tc>
          <w:tcPr>
            <w:tcW w:w="5602" w:type="dxa"/>
            <w:noWrap/>
            <w:vAlign w:val="bottom"/>
            <w:hideMark/>
          </w:tcPr>
          <w:p w14:paraId="0AEBD7F9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Vijeće Srpske nacionalne manjine</w:t>
            </w:r>
          </w:p>
        </w:tc>
      </w:tr>
      <w:tr w:rsidR="00367127" w:rsidRPr="00367127" w14:paraId="476B04E2" w14:textId="77777777" w:rsidTr="00E41EB2">
        <w:trPr>
          <w:gridAfter w:val="2"/>
          <w:wAfter w:w="2369" w:type="dxa"/>
          <w:trHeight w:val="75"/>
        </w:trPr>
        <w:tc>
          <w:tcPr>
            <w:tcW w:w="5602" w:type="dxa"/>
            <w:noWrap/>
            <w:vAlign w:val="bottom"/>
          </w:tcPr>
          <w:p w14:paraId="0227AED6" w14:textId="77777777" w:rsidR="000134B3" w:rsidRPr="00367127" w:rsidRDefault="000134B3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Vijeće Bošnjačke nacionalne manjine</w:t>
            </w:r>
          </w:p>
        </w:tc>
      </w:tr>
    </w:tbl>
    <w:p w14:paraId="6FA73455" w14:textId="77777777" w:rsidR="003A79DF" w:rsidRDefault="003A79DF" w:rsidP="003A79DF">
      <w:pPr>
        <w:pStyle w:val="Odlomakpopisa"/>
        <w:ind w:left="1211"/>
        <w:rPr>
          <w:rFonts w:ascii="Times New Roman" w:hAnsi="Times New Roman" w:cs="Times New Roman"/>
          <w:b/>
          <w:sz w:val="28"/>
          <w:szCs w:val="28"/>
        </w:rPr>
      </w:pPr>
    </w:p>
    <w:p w14:paraId="7C8F96BD" w14:textId="77777777" w:rsidR="00C9235D" w:rsidRPr="00167BBA" w:rsidRDefault="00C9235D" w:rsidP="0088078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7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D9C" w:rsidRPr="00167BBA">
        <w:rPr>
          <w:rFonts w:ascii="Times New Roman" w:hAnsi="Times New Roman" w:cs="Times New Roman"/>
          <w:b/>
          <w:sz w:val="28"/>
          <w:szCs w:val="28"/>
        </w:rPr>
        <w:t xml:space="preserve">IZVRŠENJE PRORAČUNA </w:t>
      </w:r>
    </w:p>
    <w:p w14:paraId="2B96C639" w14:textId="2C57216C" w:rsidR="00C9235D" w:rsidRPr="00167BBA" w:rsidRDefault="00115319" w:rsidP="002A385A">
      <w:pPr>
        <w:rPr>
          <w:rFonts w:ascii="Times New Roman" w:hAnsi="Times New Roman" w:cs="Times New Roman"/>
          <w:sz w:val="24"/>
          <w:szCs w:val="24"/>
        </w:rPr>
      </w:pPr>
      <w:r w:rsidRPr="00167BBA">
        <w:rPr>
          <w:rFonts w:ascii="Times New Roman" w:hAnsi="Times New Roman" w:cs="Times New Roman"/>
          <w:sz w:val="24"/>
          <w:szCs w:val="24"/>
        </w:rPr>
        <w:t>P</w:t>
      </w:r>
      <w:r w:rsidR="00401AAA" w:rsidRPr="00167BBA">
        <w:rPr>
          <w:rFonts w:ascii="Times New Roman" w:hAnsi="Times New Roman" w:cs="Times New Roman"/>
          <w:sz w:val="24"/>
          <w:szCs w:val="24"/>
        </w:rPr>
        <w:t>roračun Grada Poreča-Parenzo</w:t>
      </w:r>
      <w:r w:rsidR="00C9235D" w:rsidRPr="00167BBA">
        <w:rPr>
          <w:rFonts w:ascii="Times New Roman" w:hAnsi="Times New Roman" w:cs="Times New Roman"/>
          <w:sz w:val="24"/>
          <w:szCs w:val="24"/>
        </w:rPr>
        <w:t xml:space="preserve"> za razdoblje od 01. s</w:t>
      </w:r>
      <w:r w:rsidRPr="00167BBA">
        <w:rPr>
          <w:rFonts w:ascii="Times New Roman" w:hAnsi="Times New Roman" w:cs="Times New Roman"/>
          <w:sz w:val="24"/>
          <w:szCs w:val="24"/>
        </w:rPr>
        <w:t>i</w:t>
      </w:r>
      <w:r w:rsidR="00C9235D" w:rsidRPr="00167BBA">
        <w:rPr>
          <w:rFonts w:ascii="Times New Roman" w:hAnsi="Times New Roman" w:cs="Times New Roman"/>
          <w:sz w:val="24"/>
          <w:szCs w:val="24"/>
        </w:rPr>
        <w:t>je</w:t>
      </w:r>
      <w:r w:rsidRPr="00167BBA">
        <w:rPr>
          <w:rFonts w:ascii="Times New Roman" w:hAnsi="Times New Roman" w:cs="Times New Roman"/>
          <w:sz w:val="24"/>
          <w:szCs w:val="24"/>
        </w:rPr>
        <w:t>č</w:t>
      </w:r>
      <w:r w:rsidR="00C9235D" w:rsidRPr="00167BBA">
        <w:rPr>
          <w:rFonts w:ascii="Times New Roman" w:hAnsi="Times New Roman" w:cs="Times New Roman"/>
          <w:sz w:val="24"/>
          <w:szCs w:val="24"/>
        </w:rPr>
        <w:t>nja do 3</w:t>
      </w:r>
      <w:r w:rsidR="00401AAA" w:rsidRPr="00167BBA">
        <w:rPr>
          <w:rFonts w:ascii="Times New Roman" w:hAnsi="Times New Roman" w:cs="Times New Roman"/>
          <w:sz w:val="24"/>
          <w:szCs w:val="24"/>
        </w:rPr>
        <w:t>0</w:t>
      </w:r>
      <w:r w:rsidR="00C9235D" w:rsidRPr="00167BBA">
        <w:rPr>
          <w:rFonts w:ascii="Times New Roman" w:hAnsi="Times New Roman" w:cs="Times New Roman"/>
          <w:sz w:val="24"/>
          <w:szCs w:val="24"/>
        </w:rPr>
        <w:t xml:space="preserve">. </w:t>
      </w:r>
      <w:r w:rsidR="00401AAA" w:rsidRPr="00167BBA">
        <w:rPr>
          <w:rFonts w:ascii="Times New Roman" w:hAnsi="Times New Roman" w:cs="Times New Roman"/>
          <w:sz w:val="24"/>
          <w:szCs w:val="24"/>
        </w:rPr>
        <w:t>lipnja</w:t>
      </w:r>
      <w:r w:rsidR="00C9235D" w:rsidRPr="00167BBA">
        <w:rPr>
          <w:rFonts w:ascii="Times New Roman" w:hAnsi="Times New Roman" w:cs="Times New Roman"/>
          <w:sz w:val="24"/>
          <w:szCs w:val="24"/>
        </w:rPr>
        <w:t xml:space="preserve"> 20</w:t>
      </w:r>
      <w:r w:rsidR="00A957E5" w:rsidRPr="00167BBA">
        <w:rPr>
          <w:rFonts w:ascii="Times New Roman" w:hAnsi="Times New Roman" w:cs="Times New Roman"/>
          <w:sz w:val="24"/>
          <w:szCs w:val="24"/>
        </w:rPr>
        <w:t>2</w:t>
      </w:r>
      <w:r w:rsidR="00466D80">
        <w:rPr>
          <w:rFonts w:ascii="Times New Roman" w:hAnsi="Times New Roman" w:cs="Times New Roman"/>
          <w:sz w:val="24"/>
          <w:szCs w:val="24"/>
        </w:rPr>
        <w:t>4</w:t>
      </w:r>
      <w:r w:rsidR="00C9235D" w:rsidRPr="00167BBA">
        <w:rPr>
          <w:rFonts w:ascii="Times New Roman" w:hAnsi="Times New Roman" w:cs="Times New Roman"/>
          <w:sz w:val="24"/>
          <w:szCs w:val="24"/>
        </w:rPr>
        <w:t xml:space="preserve">. </w:t>
      </w:r>
      <w:r w:rsidRPr="00167BBA">
        <w:rPr>
          <w:rFonts w:ascii="Times New Roman" w:hAnsi="Times New Roman" w:cs="Times New Roman"/>
          <w:sz w:val="24"/>
          <w:szCs w:val="24"/>
        </w:rPr>
        <w:t>g</w:t>
      </w:r>
      <w:r w:rsidR="00C9235D" w:rsidRPr="00167BBA">
        <w:rPr>
          <w:rFonts w:ascii="Times New Roman" w:hAnsi="Times New Roman" w:cs="Times New Roman"/>
          <w:sz w:val="24"/>
          <w:szCs w:val="24"/>
        </w:rPr>
        <w:t>odine ostvaren je kako slijedi:</w:t>
      </w:r>
    </w:p>
    <w:p w14:paraId="523F5265" w14:textId="01FE3414" w:rsidR="00622EF6" w:rsidRPr="00046FD5" w:rsidRDefault="00AD0276" w:rsidP="00C074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Tablica 1. </w:t>
      </w:r>
      <w:r w:rsidR="00C074C8" w:rsidRPr="00046FD5">
        <w:rPr>
          <w:rFonts w:ascii="Times New Roman" w:hAnsi="Times New Roman" w:cs="Times New Roman"/>
          <w:b/>
          <w:sz w:val="24"/>
          <w:szCs w:val="24"/>
        </w:rPr>
        <w:t>RAČUN PRIHODA I RASHODA</w:t>
      </w:r>
    </w:p>
    <w:tbl>
      <w:tblPr>
        <w:tblStyle w:val="Svijetlatablicareetke1-isticanje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1701"/>
        <w:gridCol w:w="850"/>
        <w:gridCol w:w="851"/>
      </w:tblGrid>
      <w:tr w:rsidR="00B307AD" w:rsidRPr="00046FD5" w14:paraId="4FFA0174" w14:textId="77777777" w:rsidTr="00FB1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248D6CA" w14:textId="77777777" w:rsidR="00622EF6" w:rsidRPr="00046FD5" w:rsidRDefault="00622EF6" w:rsidP="00D2698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64E504" w14:textId="071C740D" w:rsidR="00622EF6" w:rsidRPr="00046FD5" w:rsidRDefault="00622EF6" w:rsidP="00061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OSTVARENJE I-VI 20</w:t>
            </w:r>
            <w:r w:rsidR="003A79DF" w:rsidRPr="0004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6D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8508D2E" w14:textId="77777777" w:rsidR="00ED29F0" w:rsidRDefault="00ED29F0" w:rsidP="00061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REBALANS </w:t>
            </w:r>
          </w:p>
          <w:p w14:paraId="7CB297ED" w14:textId="40562912" w:rsidR="00622EF6" w:rsidRPr="00046FD5" w:rsidRDefault="00622EF6" w:rsidP="00061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39D1" w:rsidRPr="0004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6D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A7B5841" w14:textId="721EAE51" w:rsidR="00622EF6" w:rsidRPr="00046FD5" w:rsidRDefault="00622EF6" w:rsidP="00061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OSTVARENJE I-VI 20</w:t>
            </w:r>
            <w:r w:rsidR="000E39D1" w:rsidRPr="0004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6D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8F5AAE1" w14:textId="77777777" w:rsidR="00622EF6" w:rsidRPr="00046FD5" w:rsidRDefault="00622EF6" w:rsidP="00D26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46FD5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  <w:p w14:paraId="23A9377B" w14:textId="77777777" w:rsidR="00622EF6" w:rsidRPr="00046FD5" w:rsidRDefault="00622EF6" w:rsidP="00D26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46FD5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851" w:type="dxa"/>
          </w:tcPr>
          <w:p w14:paraId="2DC236F0" w14:textId="77777777" w:rsidR="00622EF6" w:rsidRPr="00046FD5" w:rsidRDefault="00622EF6" w:rsidP="00D26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46FD5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  <w:p w14:paraId="0EC25315" w14:textId="77777777" w:rsidR="00622EF6" w:rsidRPr="00046FD5" w:rsidRDefault="00622EF6" w:rsidP="00D26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46FD5">
              <w:rPr>
                <w:rFonts w:ascii="Times New Roman" w:hAnsi="Times New Roman" w:cs="Times New Roman"/>
                <w:sz w:val="16"/>
                <w:szCs w:val="16"/>
              </w:rPr>
              <w:t>3/2</w:t>
            </w:r>
          </w:p>
        </w:tc>
      </w:tr>
      <w:tr w:rsidR="00B307AD" w:rsidRPr="00046FD5" w14:paraId="3714AD3D" w14:textId="77777777" w:rsidTr="00FB1BB8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5169B27" w14:textId="77777777" w:rsidR="00D6098A" w:rsidRPr="00046FD5" w:rsidRDefault="00D6098A" w:rsidP="00D60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4B031C" w14:textId="77777777" w:rsidR="00D6098A" w:rsidRPr="00046FD5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BC2F7C7" w14:textId="77777777" w:rsidR="00D6098A" w:rsidRPr="00046FD5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1A86663" w14:textId="77777777" w:rsidR="00D6098A" w:rsidRPr="00046FD5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46C9652" w14:textId="77777777" w:rsidR="00D6098A" w:rsidRPr="00046FD5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54CF7DA9" w14:textId="77777777" w:rsidR="00D6098A" w:rsidRPr="00046FD5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C150F" w:rsidRPr="00046FD5" w14:paraId="76C963B8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F46C5C4" w14:textId="77777777" w:rsidR="005C150F" w:rsidRPr="00046FD5" w:rsidRDefault="005C150F" w:rsidP="005C150F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701" w:type="dxa"/>
          </w:tcPr>
          <w:p w14:paraId="491DCA6B" w14:textId="0858CDC8" w:rsidR="005C150F" w:rsidRPr="00046FD5" w:rsidRDefault="00ED29F0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D80">
              <w:rPr>
                <w:rFonts w:ascii="Times New Roman" w:hAnsi="Times New Roman" w:cs="Times New Roman"/>
              </w:rPr>
              <w:t>5.488.014,21</w:t>
            </w:r>
          </w:p>
        </w:tc>
        <w:tc>
          <w:tcPr>
            <w:tcW w:w="1843" w:type="dxa"/>
          </w:tcPr>
          <w:p w14:paraId="16EB3906" w14:textId="55EE53E0" w:rsidR="005C150F" w:rsidRPr="00046FD5" w:rsidRDefault="00466D80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45.097.322,00</w:t>
            </w:r>
          </w:p>
        </w:tc>
        <w:tc>
          <w:tcPr>
            <w:tcW w:w="1701" w:type="dxa"/>
          </w:tcPr>
          <w:p w14:paraId="58F75FF6" w14:textId="6723FBA4" w:rsidR="005C150F" w:rsidRPr="00046FD5" w:rsidRDefault="00466D80" w:rsidP="00F77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18.842.039,76</w:t>
            </w:r>
          </w:p>
        </w:tc>
        <w:tc>
          <w:tcPr>
            <w:tcW w:w="850" w:type="dxa"/>
          </w:tcPr>
          <w:p w14:paraId="252956D5" w14:textId="2CE5C567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1" w:type="dxa"/>
          </w:tcPr>
          <w:p w14:paraId="3DF4E386" w14:textId="0A055D70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5C150F" w:rsidRPr="00046FD5" w14:paraId="559DDBF9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7037418" w14:textId="78B96B8B" w:rsidR="005C150F" w:rsidRPr="00046FD5" w:rsidRDefault="005C150F" w:rsidP="00046FD5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 xml:space="preserve">Prihodi od prodaje </w:t>
            </w:r>
            <w:proofErr w:type="spellStart"/>
            <w:r w:rsidRPr="00046FD5">
              <w:rPr>
                <w:rFonts w:ascii="Times New Roman" w:hAnsi="Times New Roman" w:cs="Times New Roman"/>
              </w:rPr>
              <w:t>nef</w:t>
            </w:r>
            <w:proofErr w:type="spellEnd"/>
            <w:r w:rsidR="00046FD5" w:rsidRPr="00046FD5">
              <w:rPr>
                <w:rFonts w:ascii="Times New Roman" w:hAnsi="Times New Roman" w:cs="Times New Roman"/>
              </w:rPr>
              <w:t>.</w:t>
            </w:r>
            <w:r w:rsidRPr="00046FD5">
              <w:rPr>
                <w:rFonts w:ascii="Times New Roman" w:hAnsi="Times New Roman" w:cs="Times New Roman"/>
              </w:rPr>
              <w:t xml:space="preserve"> imovine</w:t>
            </w:r>
          </w:p>
        </w:tc>
        <w:tc>
          <w:tcPr>
            <w:tcW w:w="1701" w:type="dxa"/>
          </w:tcPr>
          <w:p w14:paraId="4A898613" w14:textId="6EC13E0B" w:rsidR="005C150F" w:rsidRPr="00046FD5" w:rsidRDefault="00466D80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120.061,68</w:t>
            </w:r>
          </w:p>
        </w:tc>
        <w:tc>
          <w:tcPr>
            <w:tcW w:w="1843" w:type="dxa"/>
          </w:tcPr>
          <w:p w14:paraId="18E95A13" w14:textId="5C005F75" w:rsidR="005C150F" w:rsidRPr="00046FD5" w:rsidRDefault="00466D80" w:rsidP="00F77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1.488.249,00</w:t>
            </w:r>
          </w:p>
        </w:tc>
        <w:tc>
          <w:tcPr>
            <w:tcW w:w="1701" w:type="dxa"/>
          </w:tcPr>
          <w:p w14:paraId="4B315634" w14:textId="41874165" w:rsidR="005C150F" w:rsidRPr="00046FD5" w:rsidRDefault="00466D80" w:rsidP="00F77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1.725.324,48</w:t>
            </w:r>
          </w:p>
        </w:tc>
        <w:tc>
          <w:tcPr>
            <w:tcW w:w="850" w:type="dxa"/>
          </w:tcPr>
          <w:p w14:paraId="3EC4F7C9" w14:textId="31FD487B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1.437</w:t>
            </w:r>
          </w:p>
        </w:tc>
        <w:tc>
          <w:tcPr>
            <w:tcW w:w="851" w:type="dxa"/>
          </w:tcPr>
          <w:p w14:paraId="2562AD44" w14:textId="65628439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5C150F" w:rsidRPr="00046FD5" w14:paraId="046C8394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40CCA3B" w14:textId="77777777" w:rsidR="005C150F" w:rsidRPr="00046FD5" w:rsidRDefault="005C150F" w:rsidP="005C150F">
            <w:pPr>
              <w:rPr>
                <w:rFonts w:ascii="Times New Roman" w:hAnsi="Times New Roman" w:cs="Times New Roman"/>
                <w:b w:val="0"/>
              </w:rPr>
            </w:pPr>
            <w:r w:rsidRPr="00046FD5">
              <w:rPr>
                <w:rFonts w:ascii="Times New Roman" w:hAnsi="Times New Roman" w:cs="Times New Roman"/>
              </w:rPr>
              <w:t>UKUPNI PRIHODI</w:t>
            </w:r>
          </w:p>
        </w:tc>
        <w:tc>
          <w:tcPr>
            <w:tcW w:w="1701" w:type="dxa"/>
          </w:tcPr>
          <w:p w14:paraId="19B70D0E" w14:textId="104CF7ED" w:rsidR="005C150F" w:rsidRPr="00046FD5" w:rsidRDefault="00466D80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15.608.075,89</w:t>
            </w:r>
          </w:p>
        </w:tc>
        <w:tc>
          <w:tcPr>
            <w:tcW w:w="1843" w:type="dxa"/>
          </w:tcPr>
          <w:p w14:paraId="1E7CA0D7" w14:textId="27D831C8" w:rsidR="005C150F" w:rsidRPr="00046FD5" w:rsidRDefault="00466D80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46.585.571,00</w:t>
            </w:r>
          </w:p>
        </w:tc>
        <w:tc>
          <w:tcPr>
            <w:tcW w:w="1701" w:type="dxa"/>
          </w:tcPr>
          <w:p w14:paraId="2E3307E9" w14:textId="140E7377" w:rsidR="005C150F" w:rsidRPr="00046FD5" w:rsidRDefault="00466D80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20.567.364,24</w:t>
            </w:r>
          </w:p>
        </w:tc>
        <w:tc>
          <w:tcPr>
            <w:tcW w:w="850" w:type="dxa"/>
          </w:tcPr>
          <w:p w14:paraId="76C34B22" w14:textId="4560EB01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851" w:type="dxa"/>
          </w:tcPr>
          <w:p w14:paraId="3D266138" w14:textId="5DDD235B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5C150F" w:rsidRPr="00046FD5" w14:paraId="263570BA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2007D43" w14:textId="77777777" w:rsidR="005C150F" w:rsidRPr="00046FD5" w:rsidRDefault="005C150F" w:rsidP="005C150F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701" w:type="dxa"/>
          </w:tcPr>
          <w:p w14:paraId="77D24B87" w14:textId="2BE85D9E" w:rsidR="005C150F" w:rsidRPr="00046FD5" w:rsidRDefault="00466D80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11.834.139,88</w:t>
            </w:r>
          </w:p>
        </w:tc>
        <w:tc>
          <w:tcPr>
            <w:tcW w:w="1843" w:type="dxa"/>
          </w:tcPr>
          <w:p w14:paraId="59A8723A" w14:textId="0403D123" w:rsidR="005C150F" w:rsidRPr="00046FD5" w:rsidRDefault="00466D80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36.692.768,00</w:t>
            </w:r>
          </w:p>
        </w:tc>
        <w:tc>
          <w:tcPr>
            <w:tcW w:w="1701" w:type="dxa"/>
          </w:tcPr>
          <w:p w14:paraId="2E330266" w14:textId="2D5D8726" w:rsidR="005C150F" w:rsidRPr="00046FD5" w:rsidRDefault="00466D80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13.937.886,17</w:t>
            </w:r>
          </w:p>
        </w:tc>
        <w:tc>
          <w:tcPr>
            <w:tcW w:w="850" w:type="dxa"/>
          </w:tcPr>
          <w:p w14:paraId="75EFC909" w14:textId="639ECB07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1" w:type="dxa"/>
          </w:tcPr>
          <w:p w14:paraId="0B005123" w14:textId="16F592B4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5C150F" w:rsidRPr="00046FD5" w14:paraId="0928E2AD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B324E35" w14:textId="246F3BD8" w:rsidR="005C150F" w:rsidRPr="00046FD5" w:rsidRDefault="005C150F" w:rsidP="00046FD5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 xml:space="preserve">Rashodi za nabavu </w:t>
            </w:r>
            <w:proofErr w:type="spellStart"/>
            <w:r w:rsidRPr="00046FD5">
              <w:rPr>
                <w:rFonts w:ascii="Times New Roman" w:hAnsi="Times New Roman" w:cs="Times New Roman"/>
              </w:rPr>
              <w:t>nef</w:t>
            </w:r>
            <w:proofErr w:type="spellEnd"/>
            <w:r w:rsidR="00046FD5" w:rsidRPr="00046FD5">
              <w:rPr>
                <w:rFonts w:ascii="Times New Roman" w:hAnsi="Times New Roman" w:cs="Times New Roman"/>
              </w:rPr>
              <w:t>.</w:t>
            </w:r>
            <w:r w:rsidRPr="00046FD5">
              <w:rPr>
                <w:rFonts w:ascii="Times New Roman" w:hAnsi="Times New Roman" w:cs="Times New Roman"/>
              </w:rPr>
              <w:t xml:space="preserve"> imovine</w:t>
            </w:r>
          </w:p>
        </w:tc>
        <w:tc>
          <w:tcPr>
            <w:tcW w:w="1701" w:type="dxa"/>
          </w:tcPr>
          <w:p w14:paraId="03EF41C4" w14:textId="218FB534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2.318.927,72</w:t>
            </w:r>
          </w:p>
        </w:tc>
        <w:tc>
          <w:tcPr>
            <w:tcW w:w="1843" w:type="dxa"/>
          </w:tcPr>
          <w:p w14:paraId="0CBAAF15" w14:textId="1C3730AE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30.585.912,00</w:t>
            </w:r>
          </w:p>
        </w:tc>
        <w:tc>
          <w:tcPr>
            <w:tcW w:w="1701" w:type="dxa"/>
          </w:tcPr>
          <w:p w14:paraId="70DB78EA" w14:textId="11AE2A1A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4.096.194,55</w:t>
            </w:r>
          </w:p>
        </w:tc>
        <w:tc>
          <w:tcPr>
            <w:tcW w:w="850" w:type="dxa"/>
          </w:tcPr>
          <w:p w14:paraId="2EBAA35E" w14:textId="3D924B9C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1" w:type="dxa"/>
          </w:tcPr>
          <w:p w14:paraId="491A1873" w14:textId="5BEA7004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C150F" w:rsidRPr="00046FD5" w14:paraId="5DAEAEDE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49AB8AA" w14:textId="14E32701" w:rsidR="005C150F" w:rsidRPr="00046FD5" w:rsidRDefault="005C150F" w:rsidP="005C150F">
            <w:pPr>
              <w:rPr>
                <w:rFonts w:ascii="Times New Roman" w:hAnsi="Times New Roman" w:cs="Times New Roman"/>
                <w:b w:val="0"/>
              </w:rPr>
            </w:pPr>
            <w:r w:rsidRPr="00046FD5">
              <w:rPr>
                <w:rFonts w:ascii="Times New Roman" w:hAnsi="Times New Roman" w:cs="Times New Roman"/>
              </w:rPr>
              <w:t>UKUPNI RASHODI</w:t>
            </w:r>
          </w:p>
        </w:tc>
        <w:tc>
          <w:tcPr>
            <w:tcW w:w="1701" w:type="dxa"/>
          </w:tcPr>
          <w:p w14:paraId="1EAB30E2" w14:textId="43CB6EEB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14.153.067,60</w:t>
            </w:r>
          </w:p>
        </w:tc>
        <w:tc>
          <w:tcPr>
            <w:tcW w:w="1843" w:type="dxa"/>
          </w:tcPr>
          <w:p w14:paraId="287F051A" w14:textId="4476CA9A" w:rsidR="005C150F" w:rsidRPr="00046FD5" w:rsidRDefault="002F5A0D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67.278.680,00</w:t>
            </w:r>
          </w:p>
        </w:tc>
        <w:tc>
          <w:tcPr>
            <w:tcW w:w="1701" w:type="dxa"/>
          </w:tcPr>
          <w:p w14:paraId="2BF3765C" w14:textId="622CD318" w:rsidR="005C150F" w:rsidRPr="00046FD5" w:rsidRDefault="002F5A0D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18.034.080,72</w:t>
            </w:r>
          </w:p>
        </w:tc>
        <w:tc>
          <w:tcPr>
            <w:tcW w:w="850" w:type="dxa"/>
          </w:tcPr>
          <w:p w14:paraId="36107EF0" w14:textId="40D9C2DF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46FD5">
              <w:rPr>
                <w:rFonts w:ascii="Times New Roman" w:hAnsi="Times New Roman" w:cs="Times New Roman"/>
                <w:b/>
              </w:rPr>
              <w:t>12</w:t>
            </w:r>
            <w:r w:rsidR="002F5A0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14:paraId="31E29D06" w14:textId="7A9D68F3" w:rsidR="005C150F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DF62ED" w:rsidRPr="00B307AD" w14:paraId="26C8844A" w14:textId="77777777" w:rsidTr="00FB1BB8">
        <w:trPr>
          <w:gridAfter w:val="2"/>
          <w:wAfter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17763A0" w14:textId="77777777" w:rsidR="00DF62ED" w:rsidRPr="00046FD5" w:rsidRDefault="00DF62ED" w:rsidP="005C150F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046FD5">
              <w:rPr>
                <w:rFonts w:ascii="Times New Roman" w:hAnsi="Times New Roman" w:cs="Times New Roman"/>
              </w:rPr>
              <w:t>RAZLIKA VIŠAK/MANJAK</w:t>
            </w:r>
          </w:p>
        </w:tc>
        <w:tc>
          <w:tcPr>
            <w:tcW w:w="1701" w:type="dxa"/>
          </w:tcPr>
          <w:p w14:paraId="2C35B6F6" w14:textId="2AD83349" w:rsidR="00DF62ED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1.455.008,29</w:t>
            </w:r>
          </w:p>
        </w:tc>
        <w:tc>
          <w:tcPr>
            <w:tcW w:w="1843" w:type="dxa"/>
          </w:tcPr>
          <w:p w14:paraId="23B8B9EF" w14:textId="23C4B4D5" w:rsidR="00DF62ED" w:rsidRPr="00046FD5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-20.693.109,00</w:t>
            </w:r>
          </w:p>
        </w:tc>
        <w:tc>
          <w:tcPr>
            <w:tcW w:w="1701" w:type="dxa"/>
          </w:tcPr>
          <w:p w14:paraId="00C1D301" w14:textId="5FFA60AB" w:rsidR="00DF62ED" w:rsidRPr="00B01790" w:rsidRDefault="002F5A0D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2.533.283,52</w:t>
            </w:r>
          </w:p>
        </w:tc>
      </w:tr>
    </w:tbl>
    <w:p w14:paraId="34378C70" w14:textId="77777777" w:rsidR="00A32EC2" w:rsidRDefault="00A32EC2" w:rsidP="00A32EC2">
      <w:pPr>
        <w:rPr>
          <w:rFonts w:ascii="Times New Roman" w:hAnsi="Times New Roman" w:cs="Times New Roman"/>
          <w:b/>
          <w:sz w:val="24"/>
          <w:szCs w:val="24"/>
        </w:rPr>
      </w:pPr>
    </w:p>
    <w:p w14:paraId="7587C3D4" w14:textId="227B4F6C" w:rsidR="00236D87" w:rsidRPr="00A32EC2" w:rsidRDefault="00A32EC2" w:rsidP="00A32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D0276">
        <w:rPr>
          <w:rFonts w:ascii="Times New Roman" w:hAnsi="Times New Roman" w:cs="Times New Roman"/>
          <w:b/>
          <w:sz w:val="24"/>
          <w:szCs w:val="24"/>
        </w:rPr>
        <w:t xml:space="preserve">Tablica 2. </w:t>
      </w:r>
      <w:r w:rsidR="006976AF" w:rsidRPr="00A32EC2">
        <w:rPr>
          <w:rFonts w:ascii="Times New Roman" w:hAnsi="Times New Roman" w:cs="Times New Roman"/>
          <w:b/>
          <w:sz w:val="24"/>
          <w:szCs w:val="24"/>
        </w:rPr>
        <w:t>R</w:t>
      </w:r>
      <w:r w:rsidR="00236D87" w:rsidRPr="00A32EC2">
        <w:rPr>
          <w:rFonts w:ascii="Times New Roman" w:hAnsi="Times New Roman" w:cs="Times New Roman"/>
          <w:b/>
          <w:sz w:val="24"/>
          <w:szCs w:val="24"/>
        </w:rPr>
        <w:t>ASPOLOŽIVA SREDSTVA IZ PRETHODNIH GODINA</w:t>
      </w:r>
    </w:p>
    <w:tbl>
      <w:tblPr>
        <w:tblStyle w:val="Svijetlatablicareetke1-isticanje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701"/>
        <w:gridCol w:w="1843"/>
      </w:tblGrid>
      <w:tr w:rsidR="00B17401" w:rsidRPr="00B17401" w14:paraId="360A9BA4" w14:textId="77777777" w:rsidTr="00CE4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4708327" w14:textId="77777777" w:rsidR="007830F3" w:rsidRPr="00B17401" w:rsidRDefault="007830F3" w:rsidP="002860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45D64" w14:textId="7F8B8CE0" w:rsidR="007830F3" w:rsidRPr="00B17401" w:rsidRDefault="007830F3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OSTVARENJE I-VI 20</w:t>
            </w:r>
            <w:r w:rsidR="00B17401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4A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F7A9A41" w14:textId="77777777" w:rsidR="00ED29F0" w:rsidRDefault="00ED29F0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REBALANS</w:t>
            </w:r>
          </w:p>
          <w:p w14:paraId="745F804B" w14:textId="0110D4A8" w:rsidR="007830F3" w:rsidRPr="00B17401" w:rsidRDefault="007830F3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42B49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4A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EC9BB94" w14:textId="77777777" w:rsidR="007830F3" w:rsidRPr="00B17401" w:rsidRDefault="007830F3" w:rsidP="00C06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OSTVARENJE</w:t>
            </w:r>
          </w:p>
          <w:p w14:paraId="6C2DD9D4" w14:textId="03AA9B05" w:rsidR="007830F3" w:rsidRPr="00B17401" w:rsidRDefault="007830F3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 xml:space="preserve"> I-VI 20</w:t>
            </w:r>
            <w:r w:rsidR="00D42B49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4A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2F98" w:rsidRPr="00B307AD" w14:paraId="255960AE" w14:textId="77777777" w:rsidTr="00CE4A7D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001C5B5" w14:textId="77777777" w:rsidR="00402F98" w:rsidRPr="00B307AD" w:rsidRDefault="00402F98" w:rsidP="00402F9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B17401">
              <w:rPr>
                <w:rFonts w:ascii="Times New Roman" w:hAnsi="Times New Roman" w:cs="Times New Roman"/>
              </w:rPr>
              <w:t>Raspoloživa sredstva iz prethodnih godina</w:t>
            </w:r>
          </w:p>
        </w:tc>
        <w:tc>
          <w:tcPr>
            <w:tcW w:w="1701" w:type="dxa"/>
          </w:tcPr>
          <w:p w14:paraId="6F0A9681" w14:textId="6B02DA48" w:rsidR="00402F98" w:rsidRPr="00046FD5" w:rsidRDefault="00CE4A7D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12.682.961,56</w:t>
            </w:r>
          </w:p>
        </w:tc>
        <w:tc>
          <w:tcPr>
            <w:tcW w:w="1701" w:type="dxa"/>
          </w:tcPr>
          <w:p w14:paraId="043CC655" w14:textId="1AC11FAD" w:rsidR="00402F98" w:rsidRPr="00046FD5" w:rsidRDefault="00046FD5" w:rsidP="00ED2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A7D">
              <w:rPr>
                <w:rFonts w:ascii="Times New Roman" w:hAnsi="Times New Roman" w:cs="Times New Roman"/>
                <w:sz w:val="24"/>
                <w:szCs w:val="24"/>
              </w:rPr>
              <w:t>041.209,00</w:t>
            </w:r>
          </w:p>
        </w:tc>
        <w:tc>
          <w:tcPr>
            <w:tcW w:w="1843" w:type="dxa"/>
          </w:tcPr>
          <w:p w14:paraId="2A915AE9" w14:textId="56202090" w:rsidR="00402F98" w:rsidRPr="00AF46D5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E4A7D">
              <w:rPr>
                <w:rFonts w:ascii="Times New Roman" w:hAnsi="Times New Roman" w:cs="Times New Roman"/>
              </w:rPr>
              <w:t>039.585,97</w:t>
            </w:r>
          </w:p>
        </w:tc>
      </w:tr>
    </w:tbl>
    <w:p w14:paraId="181597D6" w14:textId="77777777" w:rsidR="00675077" w:rsidRDefault="00675077" w:rsidP="00236D87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2E05C20D" w14:textId="7E9AEA25" w:rsidR="00236D87" w:rsidRPr="00B17401" w:rsidRDefault="00AD0276" w:rsidP="00236D87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Tablica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3. </w:t>
      </w:r>
      <w:r w:rsidR="00236D87" w:rsidRPr="00B17401">
        <w:rPr>
          <w:rFonts w:ascii="Times New Roman" w:hAnsi="Times New Roman" w:cs="Times New Roman"/>
          <w:b/>
          <w:sz w:val="24"/>
          <w:szCs w:val="24"/>
          <w:lang w:val="it-IT"/>
        </w:rPr>
        <w:t>RAČUN ZADUŽIVANJA/FINANCIRANJA</w:t>
      </w:r>
    </w:p>
    <w:tbl>
      <w:tblPr>
        <w:tblStyle w:val="Svijetlatablicareetke1-isticanje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559"/>
        <w:gridCol w:w="1701"/>
      </w:tblGrid>
      <w:tr w:rsidR="00B17401" w:rsidRPr="00B17401" w14:paraId="7B963720" w14:textId="77777777" w:rsidTr="00FB1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DF2412B" w14:textId="77777777" w:rsidR="00263421" w:rsidRPr="00B17401" w:rsidRDefault="00263421" w:rsidP="00236D87">
            <w:pPr>
              <w:rPr>
                <w:b w:val="0"/>
                <w:sz w:val="24"/>
              </w:rPr>
            </w:pPr>
          </w:p>
        </w:tc>
        <w:tc>
          <w:tcPr>
            <w:tcW w:w="1985" w:type="dxa"/>
          </w:tcPr>
          <w:p w14:paraId="7F54FBF0" w14:textId="77777777" w:rsidR="00046FD5" w:rsidRDefault="00263421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OSTVARENJE</w:t>
            </w:r>
          </w:p>
          <w:p w14:paraId="41BADD4C" w14:textId="16DCC11F" w:rsidR="00263421" w:rsidRPr="00B17401" w:rsidRDefault="00263421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 xml:space="preserve"> I-VI 20</w:t>
            </w:r>
            <w:r w:rsidR="00B17401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3C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8C87BCF" w14:textId="70E65EDD" w:rsidR="00263421" w:rsidRPr="00B17401" w:rsidRDefault="00381AD2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REBALANS </w:t>
            </w:r>
            <w:r w:rsidR="00263421" w:rsidRPr="00B17401">
              <w:rPr>
                <w:rFonts w:ascii="Times New Roman" w:hAnsi="Times New Roman" w:cs="Times New Roman"/>
                <w:sz w:val="20"/>
                <w:szCs w:val="20"/>
              </w:rPr>
              <w:t>ZA 20</w:t>
            </w:r>
            <w:r w:rsidR="00B17401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3C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3421"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E428DCF" w14:textId="77777777" w:rsidR="00263421" w:rsidRPr="00B17401" w:rsidRDefault="00263421" w:rsidP="00C06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 xml:space="preserve">OSTVARENJE </w:t>
            </w:r>
          </w:p>
          <w:p w14:paraId="5A4747B1" w14:textId="2B66DA82" w:rsidR="00263421" w:rsidRPr="00B17401" w:rsidRDefault="00263421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I-VI 20</w:t>
            </w:r>
            <w:r w:rsidR="00D42B49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3C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2F98" w:rsidRPr="00B307AD" w14:paraId="4C0AC6C5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CCDC10F" w14:textId="77777777" w:rsidR="00402F98" w:rsidRPr="00B17401" w:rsidRDefault="00402F98" w:rsidP="00402F98">
            <w:pPr>
              <w:rPr>
                <w:rFonts w:ascii="Times New Roman" w:hAnsi="Times New Roman" w:cs="Times New Roman"/>
              </w:rPr>
            </w:pPr>
            <w:r w:rsidRPr="00B17401"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1985" w:type="dxa"/>
          </w:tcPr>
          <w:p w14:paraId="0C742ECD" w14:textId="04F5F3F5" w:rsidR="00402F98" w:rsidRPr="00E315A1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6034137C" w14:textId="75EEFE2D" w:rsidR="00402F98" w:rsidRPr="00E315A1" w:rsidRDefault="00BF3CAA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9.727.150,00</w:t>
            </w:r>
          </w:p>
        </w:tc>
        <w:tc>
          <w:tcPr>
            <w:tcW w:w="1701" w:type="dxa"/>
          </w:tcPr>
          <w:p w14:paraId="48DC71E9" w14:textId="0B831A3B" w:rsidR="00402F98" w:rsidRPr="00E315A1" w:rsidRDefault="00BF3CAA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427.135,18</w:t>
            </w:r>
          </w:p>
        </w:tc>
      </w:tr>
      <w:tr w:rsidR="00402F98" w:rsidRPr="00B307AD" w14:paraId="225F952F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4784636" w14:textId="77777777" w:rsidR="00402F98" w:rsidRPr="00B17401" w:rsidRDefault="00402F98" w:rsidP="00402F98">
            <w:pPr>
              <w:rPr>
                <w:rFonts w:ascii="Times New Roman" w:hAnsi="Times New Roman" w:cs="Times New Roman"/>
              </w:rPr>
            </w:pPr>
            <w:r w:rsidRPr="00B17401">
              <w:rPr>
                <w:rFonts w:ascii="Times New Roman" w:hAnsi="Times New Roman" w:cs="Times New Roman"/>
              </w:rPr>
              <w:t>Izdaci za financijsku imovinu i zaduživanje</w:t>
            </w:r>
          </w:p>
        </w:tc>
        <w:tc>
          <w:tcPr>
            <w:tcW w:w="1985" w:type="dxa"/>
          </w:tcPr>
          <w:p w14:paraId="252A6CDF" w14:textId="360BAD71" w:rsidR="00402F98" w:rsidRPr="00E315A1" w:rsidRDefault="00BF3CAA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530.892,14</w:t>
            </w:r>
          </w:p>
        </w:tc>
        <w:tc>
          <w:tcPr>
            <w:tcW w:w="1559" w:type="dxa"/>
          </w:tcPr>
          <w:p w14:paraId="679F6606" w14:textId="16E15499" w:rsidR="00402F98" w:rsidRPr="00E315A1" w:rsidRDefault="00BF3CAA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1.075.250,00</w:t>
            </w:r>
          </w:p>
        </w:tc>
        <w:tc>
          <w:tcPr>
            <w:tcW w:w="1701" w:type="dxa"/>
          </w:tcPr>
          <w:p w14:paraId="6919EB2A" w14:textId="5AA69CDB" w:rsidR="00402F98" w:rsidRPr="00E315A1" w:rsidRDefault="00BF3CAA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516.145,16</w:t>
            </w:r>
          </w:p>
        </w:tc>
      </w:tr>
      <w:tr w:rsidR="00402F98" w:rsidRPr="00B307AD" w14:paraId="71DD32D1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7EAE744" w14:textId="77777777" w:rsidR="00402F98" w:rsidRPr="00B17401" w:rsidRDefault="00402F98" w:rsidP="00402F98">
            <w:pPr>
              <w:rPr>
                <w:rFonts w:ascii="Times New Roman" w:hAnsi="Times New Roman" w:cs="Times New Roman"/>
              </w:rPr>
            </w:pPr>
            <w:r w:rsidRPr="00B17401">
              <w:rPr>
                <w:rFonts w:ascii="Times New Roman" w:hAnsi="Times New Roman" w:cs="Times New Roman"/>
              </w:rPr>
              <w:t>Neto zaduživanje/financiranje</w:t>
            </w:r>
          </w:p>
        </w:tc>
        <w:tc>
          <w:tcPr>
            <w:tcW w:w="1985" w:type="dxa"/>
          </w:tcPr>
          <w:p w14:paraId="19B70894" w14:textId="7D740A1C" w:rsidR="00402F98" w:rsidRPr="00E315A1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F3CAA">
              <w:rPr>
                <w:rFonts w:ascii="Times New Roman" w:hAnsi="Times New Roman" w:cs="Times New Roman"/>
              </w:rPr>
              <w:t>530.892,14</w:t>
            </w:r>
          </w:p>
        </w:tc>
        <w:tc>
          <w:tcPr>
            <w:tcW w:w="1559" w:type="dxa"/>
          </w:tcPr>
          <w:p w14:paraId="1DD0C652" w14:textId="6AE07C4A" w:rsidR="00402F98" w:rsidRPr="00E315A1" w:rsidRDefault="00BF3CAA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8.651.900,00</w:t>
            </w:r>
          </w:p>
        </w:tc>
        <w:tc>
          <w:tcPr>
            <w:tcW w:w="1701" w:type="dxa"/>
          </w:tcPr>
          <w:p w14:paraId="6D55063D" w14:textId="3FA05C62" w:rsidR="00402F98" w:rsidRPr="00E315A1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F3CAA">
              <w:rPr>
                <w:rFonts w:ascii="Times New Roman" w:hAnsi="Times New Roman" w:cs="Times New Roman"/>
              </w:rPr>
              <w:t>89.009,98</w:t>
            </w:r>
          </w:p>
        </w:tc>
      </w:tr>
    </w:tbl>
    <w:p w14:paraId="4DF3620D" w14:textId="657A7C7E" w:rsidR="00FC6489" w:rsidRDefault="00236D87" w:rsidP="00675077">
      <w:pPr>
        <w:pStyle w:val="Naslov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>Ukupni prihodi u prvom polugodištu 20</w:t>
      </w:r>
      <w:r w:rsidR="0012147E"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505EB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godine ostvareni su u iznosu od </w:t>
      </w:r>
      <w:r w:rsidR="00B505EB">
        <w:rPr>
          <w:rFonts w:ascii="Times New Roman" w:hAnsi="Times New Roman" w:cs="Times New Roman"/>
          <w:b w:val="0"/>
          <w:color w:val="auto"/>
          <w:sz w:val="24"/>
          <w:szCs w:val="24"/>
        </w:rPr>
        <w:t>20.567.364,24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eura,</w:t>
      </w:r>
      <w:r w:rsidR="00C60F67"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što u usporedbi sa</w:t>
      </w:r>
      <w:r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istim razdobljem 20</w:t>
      </w:r>
      <w:r w:rsidR="00AA3FCD"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505EB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222613"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godine predstavlja </w:t>
      </w:r>
      <w:r w:rsidR="00B505EB">
        <w:rPr>
          <w:rFonts w:ascii="Times New Roman" w:hAnsi="Times New Roman" w:cs="Times New Roman"/>
          <w:b w:val="0"/>
          <w:color w:val="auto"/>
          <w:sz w:val="24"/>
          <w:szCs w:val="24"/>
        </w:rPr>
        <w:t>povećanje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od </w:t>
      </w:r>
      <w:r w:rsidR="00595549">
        <w:rPr>
          <w:rFonts w:ascii="Times New Roman" w:hAnsi="Times New Roman" w:cs="Times New Roman"/>
          <w:b w:val="0"/>
          <w:color w:val="auto"/>
          <w:sz w:val="24"/>
          <w:szCs w:val="24"/>
        </w:rPr>
        <w:t>32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>%</w:t>
      </w:r>
      <w:r w:rsidR="00B505E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U odnosu na Plan za 20</w:t>
      </w:r>
      <w:r w:rsidR="00A0524F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505EB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godinu, u prvom je polugodištu ostvareno 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595549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% planiranih prihoda</w:t>
      </w:r>
      <w:r w:rsidR="00CD6939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Ukupni rashodi u </w:t>
      </w:r>
      <w:r w:rsidR="00CD6939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iznosu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od </w:t>
      </w:r>
      <w:r w:rsidR="00B505EB">
        <w:rPr>
          <w:rFonts w:ascii="Times New Roman" w:hAnsi="Times New Roman" w:cs="Times New Roman"/>
          <w:b w:val="0"/>
          <w:color w:val="auto"/>
          <w:sz w:val="24"/>
          <w:szCs w:val="24"/>
        </w:rPr>
        <w:t>18.034.080,72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eura veći su za 2</w:t>
      </w:r>
      <w:r w:rsidR="00B505EB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>% od realizacije u prvoj polovini prethodne godine</w:t>
      </w:r>
      <w:r w:rsidR="00DF62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222613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dok </w:t>
      </w:r>
      <w:r w:rsidR="00CD6939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su u odnosu na Plan za 20</w:t>
      </w:r>
      <w:r w:rsidR="00EE772E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505EB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6302BD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FC6489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godinu iskazani indeksom </w:t>
      </w:r>
      <w:r w:rsidR="00B505EB">
        <w:rPr>
          <w:rFonts w:ascii="Times New Roman" w:hAnsi="Times New Roman" w:cs="Times New Roman"/>
          <w:b w:val="0"/>
          <w:color w:val="auto"/>
          <w:sz w:val="24"/>
          <w:szCs w:val="24"/>
        </w:rPr>
        <w:t>27</w:t>
      </w:r>
      <w:r w:rsidR="00222613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2E9B1622" w14:textId="77777777" w:rsidR="00675077" w:rsidRDefault="00D86857" w:rsidP="00675077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75077">
        <w:rPr>
          <w:rFonts w:ascii="Times New Roman" w:hAnsi="Times New Roman" w:cs="Times New Roman"/>
          <w:bCs/>
          <w:sz w:val="24"/>
        </w:rPr>
        <w:t>Prikaz ostvarenog viška Proračuna</w:t>
      </w:r>
      <w:r w:rsidR="00236D87" w:rsidRPr="00675077">
        <w:rPr>
          <w:rFonts w:ascii="Times New Roman" w:hAnsi="Times New Roman" w:cs="Times New Roman"/>
          <w:bCs/>
          <w:sz w:val="24"/>
        </w:rPr>
        <w:t xml:space="preserve"> Grada Poreča</w:t>
      </w:r>
      <w:r w:rsidR="00D50E58" w:rsidRPr="00675077">
        <w:rPr>
          <w:rFonts w:ascii="Times New Roman" w:hAnsi="Times New Roman" w:cs="Times New Roman"/>
          <w:bCs/>
          <w:sz w:val="24"/>
        </w:rPr>
        <w:t>-Parenzo</w:t>
      </w:r>
      <w:r w:rsidR="00236D87" w:rsidRPr="00675077">
        <w:rPr>
          <w:rFonts w:ascii="Times New Roman" w:hAnsi="Times New Roman" w:cs="Times New Roman"/>
          <w:bCs/>
          <w:sz w:val="24"/>
        </w:rPr>
        <w:t xml:space="preserve"> </w:t>
      </w:r>
      <w:r w:rsidRPr="00675077">
        <w:rPr>
          <w:rFonts w:ascii="Times New Roman" w:hAnsi="Times New Roman" w:cs="Times New Roman"/>
          <w:bCs/>
          <w:sz w:val="24"/>
        </w:rPr>
        <w:t xml:space="preserve">u razdoblju siječanj-lipanj </w:t>
      </w:r>
      <w:r w:rsidR="00236D87" w:rsidRPr="00675077">
        <w:rPr>
          <w:rFonts w:ascii="Times New Roman" w:hAnsi="Times New Roman" w:cs="Times New Roman"/>
          <w:bCs/>
          <w:sz w:val="24"/>
        </w:rPr>
        <w:t xml:space="preserve"> 20</w:t>
      </w:r>
      <w:r w:rsidR="004A4EA7" w:rsidRPr="00675077">
        <w:rPr>
          <w:rFonts w:ascii="Times New Roman" w:hAnsi="Times New Roman" w:cs="Times New Roman"/>
          <w:bCs/>
          <w:sz w:val="24"/>
        </w:rPr>
        <w:t>2</w:t>
      </w:r>
      <w:r w:rsidR="00B505EB" w:rsidRPr="00675077">
        <w:rPr>
          <w:rFonts w:ascii="Times New Roman" w:hAnsi="Times New Roman" w:cs="Times New Roman"/>
          <w:bCs/>
          <w:sz w:val="24"/>
        </w:rPr>
        <w:t>4</w:t>
      </w:r>
      <w:r w:rsidR="00236D87" w:rsidRPr="00675077">
        <w:rPr>
          <w:rFonts w:ascii="Times New Roman" w:hAnsi="Times New Roman" w:cs="Times New Roman"/>
          <w:bCs/>
          <w:sz w:val="24"/>
        </w:rPr>
        <w:t>.</w:t>
      </w:r>
      <w:r w:rsidR="007D28D2" w:rsidRPr="00675077">
        <w:rPr>
          <w:rFonts w:ascii="Times New Roman" w:hAnsi="Times New Roman" w:cs="Times New Roman"/>
          <w:bCs/>
          <w:sz w:val="24"/>
        </w:rPr>
        <w:t xml:space="preserve"> </w:t>
      </w:r>
      <w:r w:rsidR="00236D87" w:rsidRPr="00675077">
        <w:rPr>
          <w:rFonts w:ascii="Times New Roman" w:hAnsi="Times New Roman" w:cs="Times New Roman"/>
          <w:bCs/>
          <w:sz w:val="24"/>
        </w:rPr>
        <w:t>godin</w:t>
      </w:r>
      <w:r w:rsidRPr="00675077">
        <w:rPr>
          <w:rFonts w:ascii="Times New Roman" w:hAnsi="Times New Roman" w:cs="Times New Roman"/>
          <w:bCs/>
          <w:sz w:val="24"/>
        </w:rPr>
        <w:t>e</w:t>
      </w:r>
      <w:r w:rsidR="00675077">
        <w:rPr>
          <w:rFonts w:ascii="Times New Roman" w:hAnsi="Times New Roman" w:cs="Times New Roman"/>
          <w:bCs/>
          <w:sz w:val="24"/>
        </w:rPr>
        <w:t xml:space="preserve"> </w:t>
      </w:r>
      <w:r w:rsidR="00675077" w:rsidRPr="00675077">
        <w:rPr>
          <w:rFonts w:ascii="Times New Roman" w:hAnsi="Times New Roman" w:cs="Times New Roman"/>
          <w:sz w:val="24"/>
          <w:szCs w:val="24"/>
        </w:rPr>
        <w:t>iskazan je u slijedećoj tablici.</w:t>
      </w:r>
    </w:p>
    <w:tbl>
      <w:tblPr>
        <w:tblStyle w:val="Tablicapopisa3-isticanje5"/>
        <w:tblpPr w:leftFromText="180" w:rightFromText="180" w:vertAnchor="text" w:horzAnchor="margin" w:tblpY="488"/>
        <w:tblW w:w="9949" w:type="dxa"/>
        <w:tblLayout w:type="fixed"/>
        <w:tblLook w:val="01E0" w:firstRow="1" w:lastRow="1" w:firstColumn="1" w:lastColumn="1" w:noHBand="0" w:noVBand="0"/>
      </w:tblPr>
      <w:tblGrid>
        <w:gridCol w:w="2505"/>
        <w:gridCol w:w="1718"/>
        <w:gridCol w:w="1878"/>
        <w:gridCol w:w="1954"/>
        <w:gridCol w:w="1894"/>
      </w:tblGrid>
      <w:tr w:rsidR="00675077" w:rsidRPr="007C7079" w14:paraId="3C2BFF62" w14:textId="77777777" w:rsidTr="00675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5" w:type="dxa"/>
          </w:tcPr>
          <w:p w14:paraId="1C3FE9B3" w14:textId="77777777" w:rsidR="00675077" w:rsidRPr="00FB1BB8" w:rsidRDefault="00675077" w:rsidP="0067507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14:paraId="5AF52F9F" w14:textId="77777777" w:rsidR="00675077" w:rsidRPr="00FB1BB8" w:rsidRDefault="00675077" w:rsidP="00675077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B1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RAČUN PRIHODA I RASHODA</w:t>
            </w:r>
          </w:p>
        </w:tc>
        <w:tc>
          <w:tcPr>
            <w:tcW w:w="1878" w:type="dxa"/>
          </w:tcPr>
          <w:p w14:paraId="0B30DE6D" w14:textId="77777777" w:rsidR="00675077" w:rsidRPr="00FB1BB8" w:rsidRDefault="00675077" w:rsidP="00675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B1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RASPOLOŽIVA SREDSTVA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4" w:type="dxa"/>
          </w:tcPr>
          <w:p w14:paraId="3FA7AF2F" w14:textId="77777777" w:rsidR="00EE53DC" w:rsidRDefault="00675077" w:rsidP="0067507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B1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RAČUN FINANCIRANJA/</w:t>
            </w:r>
          </w:p>
          <w:p w14:paraId="6CD1B225" w14:textId="24ED5376" w:rsidR="00675077" w:rsidRPr="00FB1BB8" w:rsidRDefault="00675077" w:rsidP="00675077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B1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ZADUŽIVANJA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94" w:type="dxa"/>
          </w:tcPr>
          <w:p w14:paraId="43AC1846" w14:textId="77777777" w:rsidR="00675077" w:rsidRPr="00FB1BB8" w:rsidRDefault="00675077" w:rsidP="00675077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B1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UKUPAN PRORAČUN</w:t>
            </w:r>
          </w:p>
        </w:tc>
      </w:tr>
      <w:tr w:rsidR="00675077" w:rsidRPr="00B307AD" w14:paraId="597EC571" w14:textId="77777777" w:rsidTr="0067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7EF13727" w14:textId="77777777" w:rsidR="00675077" w:rsidRPr="00D86857" w:rsidRDefault="00675077" w:rsidP="00675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</w:rPr>
              <w:t>PRIHODI/PRIMICI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14:paraId="06DDCA3C" w14:textId="77777777" w:rsidR="00675077" w:rsidRPr="009005BD" w:rsidRDefault="00675077" w:rsidP="00675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20.567.364,24</w:t>
            </w:r>
          </w:p>
        </w:tc>
        <w:tc>
          <w:tcPr>
            <w:tcW w:w="1878" w:type="dxa"/>
          </w:tcPr>
          <w:p w14:paraId="05A4050A" w14:textId="77777777" w:rsidR="00675077" w:rsidRPr="009005BD" w:rsidRDefault="00675077" w:rsidP="00675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12.039.585,97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4" w:type="dxa"/>
          </w:tcPr>
          <w:p w14:paraId="00620EAD" w14:textId="77777777" w:rsidR="00675077" w:rsidRPr="009005BD" w:rsidRDefault="00675077" w:rsidP="00675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427.135,18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4" w:type="dxa"/>
          </w:tcPr>
          <w:p w14:paraId="4CD9C59C" w14:textId="77777777" w:rsidR="00675077" w:rsidRPr="009005BD" w:rsidRDefault="00675077" w:rsidP="00675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33.034.085,39</w:t>
            </w:r>
          </w:p>
        </w:tc>
      </w:tr>
      <w:tr w:rsidR="00675077" w:rsidRPr="00B307AD" w14:paraId="68BFB990" w14:textId="77777777" w:rsidTr="0067507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6F696B1F" w14:textId="77777777" w:rsidR="00675077" w:rsidRPr="007C7079" w:rsidRDefault="00675077" w:rsidP="0067507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</w:rPr>
              <w:t>RASHODI/IZDACI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14:paraId="3A3F73C1" w14:textId="77777777" w:rsidR="00675077" w:rsidRPr="009005BD" w:rsidRDefault="00675077" w:rsidP="00675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18.034.080,72</w:t>
            </w:r>
          </w:p>
        </w:tc>
        <w:tc>
          <w:tcPr>
            <w:tcW w:w="1878" w:type="dxa"/>
          </w:tcPr>
          <w:p w14:paraId="2F4897BE" w14:textId="77777777" w:rsidR="00675077" w:rsidRPr="009005BD" w:rsidRDefault="00675077" w:rsidP="00675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4" w:type="dxa"/>
          </w:tcPr>
          <w:p w14:paraId="0EF22BB1" w14:textId="77777777" w:rsidR="00675077" w:rsidRPr="009005BD" w:rsidRDefault="00675077" w:rsidP="00675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516.145,16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4" w:type="dxa"/>
          </w:tcPr>
          <w:p w14:paraId="7B82ECB4" w14:textId="77777777" w:rsidR="00675077" w:rsidRPr="009005BD" w:rsidRDefault="00675077" w:rsidP="00675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18.550.225,88</w:t>
            </w:r>
          </w:p>
        </w:tc>
      </w:tr>
      <w:tr w:rsidR="00675077" w:rsidRPr="00B307AD" w14:paraId="1D5B0C47" w14:textId="77777777" w:rsidTr="006750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05" w:type="dxa"/>
          </w:tcPr>
          <w:p w14:paraId="1E3EB30A" w14:textId="77777777" w:rsidR="00675077" w:rsidRPr="007C7079" w:rsidRDefault="00675077" w:rsidP="0067507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</w:rPr>
              <w:t>VIŠAK/MANJAK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14:paraId="6667456C" w14:textId="77777777" w:rsidR="00675077" w:rsidRPr="009005BD" w:rsidRDefault="00675077" w:rsidP="00675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2.533.283,52</w:t>
            </w:r>
          </w:p>
        </w:tc>
        <w:tc>
          <w:tcPr>
            <w:tcW w:w="1878" w:type="dxa"/>
          </w:tcPr>
          <w:p w14:paraId="22DF2251" w14:textId="77777777" w:rsidR="00675077" w:rsidRPr="009005BD" w:rsidRDefault="00675077" w:rsidP="0067507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12.039.585,97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4" w:type="dxa"/>
          </w:tcPr>
          <w:p w14:paraId="65344E59" w14:textId="77777777" w:rsidR="00675077" w:rsidRPr="009005BD" w:rsidRDefault="00675077" w:rsidP="00675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-89.009,98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94" w:type="dxa"/>
          </w:tcPr>
          <w:p w14:paraId="22AE8CC4" w14:textId="77777777" w:rsidR="00675077" w:rsidRPr="009005BD" w:rsidRDefault="00675077" w:rsidP="00675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14.483.859,51</w:t>
            </w:r>
          </w:p>
        </w:tc>
      </w:tr>
    </w:tbl>
    <w:p w14:paraId="6D3F3BC0" w14:textId="4D9029A9" w:rsidR="00675077" w:rsidRPr="00675077" w:rsidRDefault="00675077" w:rsidP="00675077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Tablica 4.  REZULTAT POSLOVANJA</w:t>
      </w:r>
    </w:p>
    <w:p w14:paraId="4603B7B3" w14:textId="77777777" w:rsidR="00642B24" w:rsidRPr="000561A0" w:rsidRDefault="00642B24" w:rsidP="006750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AD2B7" w14:textId="6FDFF048" w:rsidR="00A32EC2" w:rsidRDefault="000561A0" w:rsidP="00424484">
      <w:pPr>
        <w:jc w:val="both"/>
        <w:rPr>
          <w:rFonts w:ascii="Times New Roman" w:hAnsi="Times New Roman" w:cs="Times New Roman"/>
          <w:sz w:val="24"/>
          <w:szCs w:val="24"/>
        </w:rPr>
      </w:pPr>
      <w:r w:rsidRPr="000561A0">
        <w:rPr>
          <w:rFonts w:ascii="Times New Roman" w:hAnsi="Times New Roman" w:cs="Times New Roman"/>
          <w:sz w:val="24"/>
          <w:szCs w:val="24"/>
        </w:rPr>
        <w:t>Višak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 prihoda </w:t>
      </w:r>
      <w:r w:rsidR="00ED29F0">
        <w:rPr>
          <w:rFonts w:ascii="Times New Roman" w:hAnsi="Times New Roman" w:cs="Times New Roman"/>
          <w:sz w:val="24"/>
          <w:szCs w:val="24"/>
        </w:rPr>
        <w:t xml:space="preserve">nad rashodima 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u prvom polugodištu tekuće proračunske godine iznosi </w:t>
      </w:r>
      <w:r w:rsidR="00F62D85">
        <w:rPr>
          <w:rFonts w:ascii="Times New Roman" w:hAnsi="Times New Roman" w:cs="Times New Roman"/>
          <w:sz w:val="24"/>
          <w:szCs w:val="24"/>
        </w:rPr>
        <w:t>2.533.283,52</w:t>
      </w:r>
      <w:r w:rsidR="001C1314">
        <w:rPr>
          <w:rFonts w:ascii="Times New Roman" w:hAnsi="Times New Roman" w:cs="Times New Roman"/>
          <w:sz w:val="24"/>
          <w:szCs w:val="24"/>
        </w:rPr>
        <w:t xml:space="preserve"> eura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, </w:t>
      </w:r>
      <w:r w:rsidR="00E033E1">
        <w:rPr>
          <w:rFonts w:ascii="Times New Roman" w:hAnsi="Times New Roman" w:cs="Times New Roman"/>
          <w:sz w:val="24"/>
          <w:szCs w:val="24"/>
        </w:rPr>
        <w:t xml:space="preserve"> </w:t>
      </w:r>
      <w:r w:rsidR="00E033E1" w:rsidRPr="000561A0">
        <w:rPr>
          <w:rFonts w:ascii="Times New Roman" w:hAnsi="Times New Roman" w:cs="Times New Roman"/>
          <w:sz w:val="24"/>
          <w:szCs w:val="24"/>
        </w:rPr>
        <w:t xml:space="preserve">manjak primitaka od financiranja iznosi </w:t>
      </w:r>
      <w:r w:rsidR="00F62D85">
        <w:rPr>
          <w:rFonts w:ascii="Times New Roman" w:hAnsi="Times New Roman" w:cs="Times New Roman"/>
          <w:sz w:val="24"/>
          <w:szCs w:val="24"/>
        </w:rPr>
        <w:t>89.009,98</w:t>
      </w:r>
      <w:r w:rsidR="00E033E1">
        <w:rPr>
          <w:rFonts w:ascii="Times New Roman" w:hAnsi="Times New Roman" w:cs="Times New Roman"/>
          <w:sz w:val="24"/>
          <w:szCs w:val="24"/>
        </w:rPr>
        <w:t xml:space="preserve"> eura, dok je iz prethodne godine  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preneseni </w:t>
      </w:r>
      <w:r w:rsidR="00864261" w:rsidRPr="000561A0">
        <w:rPr>
          <w:rFonts w:ascii="Times New Roman" w:hAnsi="Times New Roman" w:cs="Times New Roman"/>
          <w:sz w:val="24"/>
          <w:szCs w:val="24"/>
        </w:rPr>
        <w:t>višak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E033E1">
        <w:rPr>
          <w:rFonts w:ascii="Times New Roman" w:hAnsi="Times New Roman" w:cs="Times New Roman"/>
          <w:sz w:val="24"/>
          <w:szCs w:val="24"/>
        </w:rPr>
        <w:t>u iznosu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 </w:t>
      </w:r>
      <w:r w:rsidR="001C1314">
        <w:rPr>
          <w:rFonts w:ascii="Times New Roman" w:hAnsi="Times New Roman" w:cs="Times New Roman"/>
          <w:sz w:val="24"/>
          <w:szCs w:val="24"/>
        </w:rPr>
        <w:t>12.</w:t>
      </w:r>
      <w:r w:rsidR="00F62D85">
        <w:rPr>
          <w:rFonts w:ascii="Times New Roman" w:hAnsi="Times New Roman" w:cs="Times New Roman"/>
          <w:sz w:val="24"/>
          <w:szCs w:val="24"/>
        </w:rPr>
        <w:t xml:space="preserve">039.585,97 </w:t>
      </w:r>
      <w:r w:rsidR="001C1314">
        <w:rPr>
          <w:rFonts w:ascii="Times New Roman" w:hAnsi="Times New Roman" w:cs="Times New Roman"/>
          <w:sz w:val="24"/>
          <w:szCs w:val="24"/>
        </w:rPr>
        <w:t>eura</w:t>
      </w:r>
      <w:r w:rsidR="00AC29DD">
        <w:rPr>
          <w:rFonts w:ascii="Times New Roman" w:hAnsi="Times New Roman" w:cs="Times New Roman"/>
          <w:sz w:val="24"/>
          <w:szCs w:val="24"/>
        </w:rPr>
        <w:t xml:space="preserve">.  Na </w:t>
      </w:r>
      <w:r w:rsidR="001C1314">
        <w:rPr>
          <w:rFonts w:ascii="Times New Roman" w:hAnsi="Times New Roman" w:cs="Times New Roman"/>
          <w:sz w:val="24"/>
          <w:szCs w:val="24"/>
        </w:rPr>
        <w:t>dan 30.06.202</w:t>
      </w:r>
      <w:r w:rsidR="00F62D85">
        <w:rPr>
          <w:rFonts w:ascii="Times New Roman" w:hAnsi="Times New Roman" w:cs="Times New Roman"/>
          <w:sz w:val="24"/>
          <w:szCs w:val="24"/>
        </w:rPr>
        <w:t>4</w:t>
      </w:r>
      <w:r w:rsidR="001C1314">
        <w:rPr>
          <w:rFonts w:ascii="Times New Roman" w:hAnsi="Times New Roman" w:cs="Times New Roman"/>
          <w:sz w:val="24"/>
          <w:szCs w:val="24"/>
        </w:rPr>
        <w:t xml:space="preserve">. godine </w:t>
      </w:r>
      <w:r w:rsidR="00A06910" w:rsidRPr="000561A0">
        <w:rPr>
          <w:rFonts w:ascii="Times New Roman" w:hAnsi="Times New Roman" w:cs="Times New Roman"/>
          <w:sz w:val="24"/>
          <w:szCs w:val="24"/>
        </w:rPr>
        <w:t xml:space="preserve">ostvaren </w:t>
      </w:r>
      <w:r w:rsidR="00AC29DD">
        <w:rPr>
          <w:rFonts w:ascii="Times New Roman" w:hAnsi="Times New Roman" w:cs="Times New Roman"/>
          <w:sz w:val="24"/>
          <w:szCs w:val="24"/>
        </w:rPr>
        <w:t xml:space="preserve">je </w:t>
      </w:r>
      <w:r w:rsidRPr="000561A0">
        <w:rPr>
          <w:rFonts w:ascii="Times New Roman" w:hAnsi="Times New Roman" w:cs="Times New Roman"/>
          <w:sz w:val="24"/>
          <w:szCs w:val="24"/>
        </w:rPr>
        <w:t>višak</w:t>
      </w:r>
      <w:r w:rsidR="00E83C73" w:rsidRPr="000561A0">
        <w:rPr>
          <w:rFonts w:ascii="Times New Roman" w:hAnsi="Times New Roman" w:cs="Times New Roman"/>
          <w:sz w:val="24"/>
          <w:szCs w:val="24"/>
        </w:rPr>
        <w:t xml:space="preserve"> 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prihoda i primitaka u </w:t>
      </w:r>
      <w:r w:rsidR="00CD6939" w:rsidRPr="000561A0">
        <w:rPr>
          <w:rFonts w:ascii="Times New Roman" w:hAnsi="Times New Roman" w:cs="Times New Roman"/>
          <w:sz w:val="24"/>
          <w:szCs w:val="24"/>
        </w:rPr>
        <w:t>visini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 od </w:t>
      </w:r>
      <w:r w:rsidR="001C1314">
        <w:rPr>
          <w:rFonts w:ascii="Times New Roman" w:hAnsi="Times New Roman" w:cs="Times New Roman"/>
          <w:sz w:val="24"/>
          <w:szCs w:val="24"/>
        </w:rPr>
        <w:t>1</w:t>
      </w:r>
      <w:r w:rsidR="00F62D85">
        <w:rPr>
          <w:rFonts w:ascii="Times New Roman" w:hAnsi="Times New Roman" w:cs="Times New Roman"/>
          <w:sz w:val="24"/>
          <w:szCs w:val="24"/>
        </w:rPr>
        <w:t>4</w:t>
      </w:r>
      <w:r w:rsidR="001C1314">
        <w:rPr>
          <w:rFonts w:ascii="Times New Roman" w:hAnsi="Times New Roman" w:cs="Times New Roman"/>
          <w:sz w:val="24"/>
          <w:szCs w:val="24"/>
        </w:rPr>
        <w:t>.</w:t>
      </w:r>
      <w:r w:rsidR="00F62D85">
        <w:rPr>
          <w:rFonts w:ascii="Times New Roman" w:hAnsi="Times New Roman" w:cs="Times New Roman"/>
          <w:sz w:val="24"/>
          <w:szCs w:val="24"/>
        </w:rPr>
        <w:t>483.859,51</w:t>
      </w:r>
      <w:r w:rsidR="001C1314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B959517" w14:textId="1EF86555" w:rsidR="00675077" w:rsidRDefault="00675077" w:rsidP="004244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43DC1" w14:textId="4CD1E0B7" w:rsidR="00EE53DC" w:rsidRDefault="00EE53DC" w:rsidP="004244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6B0E3" w14:textId="57DCB73A" w:rsidR="00EE53DC" w:rsidRDefault="00EE53DC" w:rsidP="004244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DFFD7" w14:textId="1BFCB7CB" w:rsidR="00EE53DC" w:rsidRDefault="00EE53DC" w:rsidP="004244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3B4AC" w14:textId="77777777" w:rsidR="00EE53DC" w:rsidRPr="00675077" w:rsidRDefault="00EE53DC" w:rsidP="004244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6D933" w14:textId="77777777" w:rsidR="001D5F53" w:rsidRPr="00667867" w:rsidRDefault="00037E4C" w:rsidP="001D5F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78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PRIHODI</w:t>
      </w:r>
    </w:p>
    <w:p w14:paraId="2B577516" w14:textId="0FAAE362" w:rsidR="00D50E58" w:rsidRPr="00B307AD" w:rsidRDefault="009C5F0B" w:rsidP="00675077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B6A9B">
        <w:rPr>
          <w:rFonts w:ascii="Times New Roman" w:hAnsi="Times New Roman" w:cs="Times New Roman"/>
          <w:sz w:val="24"/>
          <w:szCs w:val="24"/>
        </w:rPr>
        <w:t xml:space="preserve">U strukturi ukupnih prihoda </w:t>
      </w:r>
      <w:r w:rsidR="00233D6B" w:rsidRPr="001B6A9B">
        <w:rPr>
          <w:rFonts w:ascii="Times New Roman" w:hAnsi="Times New Roman" w:cs="Times New Roman"/>
          <w:sz w:val="24"/>
          <w:szCs w:val="24"/>
        </w:rPr>
        <w:t xml:space="preserve">poslovni prihodi sudjeluju s udjelom od </w:t>
      </w:r>
      <w:r w:rsidR="009364F1">
        <w:rPr>
          <w:rFonts w:ascii="Times New Roman" w:hAnsi="Times New Roman" w:cs="Times New Roman"/>
          <w:sz w:val="24"/>
          <w:szCs w:val="24"/>
        </w:rPr>
        <w:t>9</w:t>
      </w:r>
      <w:r w:rsidR="000E3981">
        <w:rPr>
          <w:rFonts w:ascii="Times New Roman" w:hAnsi="Times New Roman" w:cs="Times New Roman"/>
          <w:sz w:val="24"/>
          <w:szCs w:val="24"/>
        </w:rPr>
        <w:t>2</w:t>
      </w:r>
      <w:r w:rsidR="00233D6B" w:rsidRPr="001B6A9B">
        <w:rPr>
          <w:rFonts w:ascii="Times New Roman" w:hAnsi="Times New Roman" w:cs="Times New Roman"/>
          <w:sz w:val="24"/>
          <w:szCs w:val="24"/>
        </w:rPr>
        <w:t>%, dok je udio kapitalnih u ukupnim prihodima</w:t>
      </w:r>
      <w:r w:rsidR="00BA3680" w:rsidRPr="001B6A9B">
        <w:rPr>
          <w:rFonts w:ascii="Times New Roman" w:hAnsi="Times New Roman" w:cs="Times New Roman"/>
          <w:sz w:val="24"/>
          <w:szCs w:val="24"/>
        </w:rPr>
        <w:t xml:space="preserve"> </w:t>
      </w:r>
      <w:r w:rsidR="000E3981">
        <w:rPr>
          <w:rFonts w:ascii="Times New Roman" w:hAnsi="Times New Roman" w:cs="Times New Roman"/>
          <w:sz w:val="24"/>
          <w:szCs w:val="24"/>
        </w:rPr>
        <w:t>8</w:t>
      </w:r>
      <w:r w:rsidR="00233D6B" w:rsidRPr="001B6A9B">
        <w:rPr>
          <w:rFonts w:ascii="Times New Roman" w:hAnsi="Times New Roman" w:cs="Times New Roman"/>
          <w:sz w:val="24"/>
          <w:szCs w:val="24"/>
        </w:rPr>
        <w:t>%.</w:t>
      </w:r>
    </w:p>
    <w:p w14:paraId="553394B3" w14:textId="392FF6B7" w:rsidR="00D50E58" w:rsidRDefault="00D50E58" w:rsidP="0067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67">
        <w:rPr>
          <w:rFonts w:ascii="Times New Roman" w:hAnsi="Times New Roman" w:cs="Times New Roman"/>
          <w:sz w:val="24"/>
          <w:szCs w:val="24"/>
        </w:rPr>
        <w:t xml:space="preserve">U </w:t>
      </w:r>
      <w:r w:rsidR="00C60F67" w:rsidRPr="00667867">
        <w:rPr>
          <w:rFonts w:ascii="Times New Roman" w:hAnsi="Times New Roman" w:cs="Times New Roman"/>
          <w:sz w:val="24"/>
          <w:szCs w:val="24"/>
        </w:rPr>
        <w:t>sl</w:t>
      </w:r>
      <w:r w:rsidR="00037E4C" w:rsidRPr="00667867">
        <w:rPr>
          <w:rFonts w:ascii="Times New Roman" w:hAnsi="Times New Roman" w:cs="Times New Roman"/>
          <w:sz w:val="24"/>
          <w:szCs w:val="24"/>
        </w:rPr>
        <w:t>jedećoj je tablici prikazana realizacija ukupnih prihoda Grada u prvom polugo</w:t>
      </w:r>
      <w:r w:rsidR="00233D6B" w:rsidRPr="00667867">
        <w:rPr>
          <w:rFonts w:ascii="Times New Roman" w:hAnsi="Times New Roman" w:cs="Times New Roman"/>
          <w:sz w:val="24"/>
          <w:szCs w:val="24"/>
        </w:rPr>
        <w:t>dištu te usporedba s realizacijom</w:t>
      </w:r>
      <w:r w:rsidR="00037E4C" w:rsidRPr="00667867">
        <w:rPr>
          <w:rFonts w:ascii="Times New Roman" w:hAnsi="Times New Roman" w:cs="Times New Roman"/>
          <w:sz w:val="24"/>
          <w:szCs w:val="24"/>
        </w:rPr>
        <w:t xml:space="preserve"> u istom izvještajnom razdoblju prethodne godine po pojedinoj v</w:t>
      </w:r>
      <w:r w:rsidRPr="00667867">
        <w:rPr>
          <w:rFonts w:ascii="Times New Roman" w:hAnsi="Times New Roman" w:cs="Times New Roman"/>
          <w:sz w:val="24"/>
          <w:szCs w:val="24"/>
        </w:rPr>
        <w:t>rsti prihoda.</w:t>
      </w:r>
    </w:p>
    <w:p w14:paraId="00189E2E" w14:textId="4B78FA11" w:rsidR="00AD0276" w:rsidRDefault="00AD0276" w:rsidP="00C60F6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1E3038" w14:textId="5E8A2C06" w:rsidR="00AD0276" w:rsidRPr="00AD0276" w:rsidRDefault="00AD0276" w:rsidP="00C60F6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</w:rPr>
        <w:t>Tablica 5. RELIZACIJA UKUPNIH PRIHODA</w:t>
      </w:r>
    </w:p>
    <w:p w14:paraId="36DC6A59" w14:textId="77777777" w:rsidR="00D50E58" w:rsidRPr="00667867" w:rsidRDefault="00D50E58" w:rsidP="0049423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2-isticanje5"/>
        <w:tblW w:w="0" w:type="auto"/>
        <w:tblInd w:w="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573"/>
        <w:gridCol w:w="1869"/>
        <w:gridCol w:w="992"/>
      </w:tblGrid>
      <w:tr w:rsidR="00667867" w:rsidRPr="00667867" w14:paraId="0476BDAC" w14:textId="77777777" w:rsidTr="00A32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40E8B192" w14:textId="77777777" w:rsidR="00D50E58" w:rsidRPr="00667867" w:rsidRDefault="00D50E58" w:rsidP="004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VRSTA PRIHODA</w:t>
            </w:r>
          </w:p>
        </w:tc>
        <w:tc>
          <w:tcPr>
            <w:tcW w:w="1573" w:type="dxa"/>
          </w:tcPr>
          <w:p w14:paraId="39F114B1" w14:textId="5B3E02FE" w:rsidR="00D50E58" w:rsidRPr="00667867" w:rsidRDefault="00D50E58" w:rsidP="009364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1-6/</w:t>
            </w:r>
            <w:r w:rsidR="00667867" w:rsidRPr="0066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70B39E4B" w14:textId="77138012" w:rsidR="00D50E58" w:rsidRPr="00667867" w:rsidRDefault="00A539F6" w:rsidP="009364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1-6/2</w:t>
            </w:r>
            <w:r w:rsidR="000E3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5CC94D7" w14:textId="77777777" w:rsidR="00D50E58" w:rsidRPr="00667867" w:rsidRDefault="00165A13" w:rsidP="00DF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50E58" w:rsidRPr="00667867">
              <w:rPr>
                <w:rFonts w:ascii="Times New Roman" w:hAnsi="Times New Roman" w:cs="Times New Roman"/>
                <w:sz w:val="24"/>
                <w:szCs w:val="24"/>
              </w:rPr>
              <w:t>ndeks</w:t>
            </w:r>
          </w:p>
        </w:tc>
      </w:tr>
      <w:tr w:rsidR="00C31775" w:rsidRPr="00B307AD" w14:paraId="7F8D105A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5A57207C" w14:textId="77777777" w:rsidR="00C31775" w:rsidRPr="00667867" w:rsidRDefault="00C31775" w:rsidP="00C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3412367"/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  <w:tc>
          <w:tcPr>
            <w:tcW w:w="1573" w:type="dxa"/>
          </w:tcPr>
          <w:p w14:paraId="5B862D4E" w14:textId="0C0A9ECA" w:rsidR="00C31775" w:rsidRPr="00F611D4" w:rsidRDefault="00C31775" w:rsidP="00C31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7.377.421</w:t>
            </w:r>
          </w:p>
        </w:tc>
        <w:tc>
          <w:tcPr>
            <w:tcW w:w="1869" w:type="dxa"/>
          </w:tcPr>
          <w:p w14:paraId="4584F7A1" w14:textId="7019F950" w:rsidR="00C31775" w:rsidRPr="00F611D4" w:rsidRDefault="00C31775" w:rsidP="00C31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8.917.743</w:t>
            </w:r>
          </w:p>
        </w:tc>
        <w:tc>
          <w:tcPr>
            <w:tcW w:w="992" w:type="dxa"/>
          </w:tcPr>
          <w:p w14:paraId="191CC3B7" w14:textId="3F05B7DC" w:rsidR="00C31775" w:rsidRPr="007E03D8" w:rsidRDefault="00C31775" w:rsidP="00C31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C31775" w:rsidRPr="00B307AD" w14:paraId="6A756B4E" w14:textId="77777777" w:rsidTr="00A3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61B95AD5" w14:textId="77777777" w:rsidR="00C31775" w:rsidRPr="00667867" w:rsidRDefault="00C31775" w:rsidP="00C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</w:p>
        </w:tc>
        <w:tc>
          <w:tcPr>
            <w:tcW w:w="1573" w:type="dxa"/>
          </w:tcPr>
          <w:p w14:paraId="1EDE8D40" w14:textId="0A1F925F" w:rsidR="00C31775" w:rsidRPr="00F611D4" w:rsidRDefault="00C31775" w:rsidP="00C3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3.543.982</w:t>
            </w:r>
          </w:p>
        </w:tc>
        <w:tc>
          <w:tcPr>
            <w:tcW w:w="1869" w:type="dxa"/>
          </w:tcPr>
          <w:p w14:paraId="5ADD8AFE" w14:textId="0241D453" w:rsidR="00C31775" w:rsidRPr="00F611D4" w:rsidRDefault="00C31775" w:rsidP="00C3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4.725.212</w:t>
            </w:r>
          </w:p>
        </w:tc>
        <w:tc>
          <w:tcPr>
            <w:tcW w:w="992" w:type="dxa"/>
          </w:tcPr>
          <w:p w14:paraId="002A1BB4" w14:textId="3E57C72B" w:rsidR="00C31775" w:rsidRPr="007E03D8" w:rsidRDefault="00C31775" w:rsidP="00C3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31775" w:rsidRPr="00B307AD" w14:paraId="3AEF0E23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5A281E7" w14:textId="77777777" w:rsidR="00C31775" w:rsidRPr="00667867" w:rsidRDefault="00C31775" w:rsidP="00C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od imovine</w:t>
            </w:r>
          </w:p>
        </w:tc>
        <w:tc>
          <w:tcPr>
            <w:tcW w:w="1573" w:type="dxa"/>
          </w:tcPr>
          <w:p w14:paraId="365E58BB" w14:textId="215FC3B9" w:rsidR="00C31775" w:rsidRPr="00F611D4" w:rsidRDefault="00C31775" w:rsidP="00C31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471.498</w:t>
            </w:r>
          </w:p>
        </w:tc>
        <w:tc>
          <w:tcPr>
            <w:tcW w:w="1869" w:type="dxa"/>
          </w:tcPr>
          <w:p w14:paraId="5C7EC14B" w14:textId="1E8D7E9D" w:rsidR="00C31775" w:rsidRPr="00F611D4" w:rsidRDefault="00C31775" w:rsidP="00C31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440.623</w:t>
            </w:r>
          </w:p>
        </w:tc>
        <w:tc>
          <w:tcPr>
            <w:tcW w:w="992" w:type="dxa"/>
          </w:tcPr>
          <w:p w14:paraId="05CA3F67" w14:textId="3DA6AE87" w:rsidR="00C31775" w:rsidRPr="007E03D8" w:rsidRDefault="00C31775" w:rsidP="00C31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31775" w:rsidRPr="00B307AD" w14:paraId="25D5BF9C" w14:textId="77777777" w:rsidTr="00A3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7FFE25A2" w14:textId="77777777" w:rsidR="00C31775" w:rsidRPr="00667867" w:rsidRDefault="00C31775" w:rsidP="00C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po posebnim propisima</w:t>
            </w:r>
          </w:p>
        </w:tc>
        <w:tc>
          <w:tcPr>
            <w:tcW w:w="1573" w:type="dxa"/>
          </w:tcPr>
          <w:p w14:paraId="53F6BEA6" w14:textId="62242746" w:rsidR="00C31775" w:rsidRPr="00F611D4" w:rsidRDefault="00C31775" w:rsidP="00C3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3.908.605</w:t>
            </w:r>
          </w:p>
        </w:tc>
        <w:tc>
          <w:tcPr>
            <w:tcW w:w="1869" w:type="dxa"/>
          </w:tcPr>
          <w:p w14:paraId="3BFCB774" w14:textId="2E0DD1CD" w:rsidR="00C31775" w:rsidRPr="00F611D4" w:rsidRDefault="00C31775" w:rsidP="00C3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4.486.747</w:t>
            </w:r>
          </w:p>
        </w:tc>
        <w:tc>
          <w:tcPr>
            <w:tcW w:w="992" w:type="dxa"/>
          </w:tcPr>
          <w:p w14:paraId="6916AC1D" w14:textId="0C46F9B2" w:rsidR="00C31775" w:rsidRPr="007E03D8" w:rsidRDefault="00C31775" w:rsidP="00C3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31775" w:rsidRPr="00B307AD" w14:paraId="415D005C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14248CCE" w14:textId="77777777" w:rsidR="00C31775" w:rsidRPr="00667867" w:rsidRDefault="00C31775" w:rsidP="00C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od prodaje proizvoda i usluga</w:t>
            </w:r>
          </w:p>
        </w:tc>
        <w:tc>
          <w:tcPr>
            <w:tcW w:w="1573" w:type="dxa"/>
          </w:tcPr>
          <w:p w14:paraId="593A791A" w14:textId="41B4E239" w:rsidR="00C31775" w:rsidRPr="00F611D4" w:rsidRDefault="00C31775" w:rsidP="00C31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88.535</w:t>
            </w:r>
          </w:p>
        </w:tc>
        <w:tc>
          <w:tcPr>
            <w:tcW w:w="1869" w:type="dxa"/>
          </w:tcPr>
          <w:p w14:paraId="3344B21D" w14:textId="60D3A80A" w:rsidR="00C31775" w:rsidRPr="00F611D4" w:rsidRDefault="00C31775" w:rsidP="00C31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179.963</w:t>
            </w:r>
          </w:p>
        </w:tc>
        <w:tc>
          <w:tcPr>
            <w:tcW w:w="992" w:type="dxa"/>
          </w:tcPr>
          <w:p w14:paraId="6D71C9F0" w14:textId="58D807A1" w:rsidR="00C31775" w:rsidRPr="007E03D8" w:rsidRDefault="00C31775" w:rsidP="00C31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31775" w:rsidRPr="00B307AD" w14:paraId="16EEE7A0" w14:textId="77777777" w:rsidTr="00A3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27E3B326" w14:textId="77777777" w:rsidR="00C31775" w:rsidRPr="00667867" w:rsidRDefault="00C31775" w:rsidP="00C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Kazne, upravne mjere i ostali prihodi</w:t>
            </w:r>
          </w:p>
        </w:tc>
        <w:tc>
          <w:tcPr>
            <w:tcW w:w="1573" w:type="dxa"/>
          </w:tcPr>
          <w:p w14:paraId="655C7798" w14:textId="5C14EFC2" w:rsidR="00C31775" w:rsidRPr="00F611D4" w:rsidRDefault="00C31775" w:rsidP="00C3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97.970</w:t>
            </w:r>
          </w:p>
        </w:tc>
        <w:tc>
          <w:tcPr>
            <w:tcW w:w="1869" w:type="dxa"/>
          </w:tcPr>
          <w:p w14:paraId="2764E44D" w14:textId="33C6C43F" w:rsidR="00C31775" w:rsidRPr="00F611D4" w:rsidRDefault="00C31775" w:rsidP="00C3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91.749</w:t>
            </w:r>
          </w:p>
        </w:tc>
        <w:tc>
          <w:tcPr>
            <w:tcW w:w="992" w:type="dxa"/>
          </w:tcPr>
          <w:p w14:paraId="64972EE5" w14:textId="6E189E32" w:rsidR="00C31775" w:rsidRPr="007E03D8" w:rsidRDefault="00C31775" w:rsidP="00C3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31775" w:rsidRPr="00B307AD" w14:paraId="645B292D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6638B632" w14:textId="77777777" w:rsidR="00C31775" w:rsidRPr="00667867" w:rsidRDefault="00C31775" w:rsidP="00C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573" w:type="dxa"/>
          </w:tcPr>
          <w:p w14:paraId="28B28A89" w14:textId="45C54682" w:rsidR="00C31775" w:rsidRPr="00F611D4" w:rsidRDefault="00C31775" w:rsidP="00C31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120.061</w:t>
            </w:r>
          </w:p>
        </w:tc>
        <w:tc>
          <w:tcPr>
            <w:tcW w:w="1869" w:type="dxa"/>
          </w:tcPr>
          <w:p w14:paraId="64797299" w14:textId="0D97DE0E" w:rsidR="00C31775" w:rsidRPr="00F611D4" w:rsidRDefault="00C31775" w:rsidP="00C31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1.725.324</w:t>
            </w:r>
          </w:p>
        </w:tc>
        <w:tc>
          <w:tcPr>
            <w:tcW w:w="992" w:type="dxa"/>
          </w:tcPr>
          <w:p w14:paraId="222E46B4" w14:textId="10A7DA35" w:rsidR="00C31775" w:rsidRPr="007E03D8" w:rsidRDefault="00C31775" w:rsidP="00C31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</w:tr>
      <w:tr w:rsidR="00C31775" w:rsidRPr="00B307AD" w14:paraId="529EC7CF" w14:textId="77777777" w:rsidTr="00A3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18478F9F" w14:textId="77777777" w:rsidR="00C31775" w:rsidRPr="00667867" w:rsidRDefault="00C31775" w:rsidP="00C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573" w:type="dxa"/>
          </w:tcPr>
          <w:p w14:paraId="0C5D8C4C" w14:textId="6B2BDBC2" w:rsidR="00C31775" w:rsidRPr="00F611D4" w:rsidRDefault="00C31775" w:rsidP="00C3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15.608.075</w:t>
            </w:r>
          </w:p>
        </w:tc>
        <w:tc>
          <w:tcPr>
            <w:tcW w:w="1869" w:type="dxa"/>
          </w:tcPr>
          <w:p w14:paraId="7BDC08A9" w14:textId="0F8081F7" w:rsidR="00C31775" w:rsidRPr="00F611D4" w:rsidRDefault="00C31775" w:rsidP="00C3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20.567.364</w:t>
            </w:r>
          </w:p>
        </w:tc>
        <w:tc>
          <w:tcPr>
            <w:tcW w:w="992" w:type="dxa"/>
          </w:tcPr>
          <w:p w14:paraId="43453F6B" w14:textId="60D00511" w:rsidR="00C31775" w:rsidRPr="007E03D8" w:rsidRDefault="00C31775" w:rsidP="00C31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bookmarkEnd w:id="0"/>
    </w:tbl>
    <w:p w14:paraId="0CF2BBB7" w14:textId="1F07A006" w:rsidR="00B221F3" w:rsidRPr="00B307AD" w:rsidRDefault="00B221F3" w:rsidP="00494232">
      <w:pPr>
        <w:spacing w:after="0" w:line="240" w:lineRule="auto"/>
        <w:ind w:left="284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57180DD5" w14:textId="77777777" w:rsidR="00E941CF" w:rsidRPr="00B307AD" w:rsidRDefault="00E941CF" w:rsidP="00494232">
      <w:pPr>
        <w:spacing w:after="0" w:line="240" w:lineRule="auto"/>
        <w:ind w:left="284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73CB3B57" w14:textId="5F48D309" w:rsidR="00B221F3" w:rsidRDefault="00267D17" w:rsidP="004234E8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A6C" w:rsidRPr="00ED74E8">
        <w:rPr>
          <w:rFonts w:ascii="Times New Roman" w:hAnsi="Times New Roman" w:cs="Times New Roman"/>
          <w:b/>
          <w:sz w:val="24"/>
          <w:szCs w:val="24"/>
        </w:rPr>
        <w:t xml:space="preserve">PRIHODI OD POREZA </w:t>
      </w:r>
    </w:p>
    <w:p w14:paraId="07D4DEE8" w14:textId="77777777" w:rsidR="009F2546" w:rsidRPr="009F2546" w:rsidRDefault="009F2546" w:rsidP="009F2546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56B07942" w14:textId="34CA183D" w:rsidR="00233D6B" w:rsidRPr="00B307AD" w:rsidRDefault="00E16A6C" w:rsidP="00575EA1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D74E8">
        <w:rPr>
          <w:rFonts w:ascii="Times New Roman" w:hAnsi="Times New Roman" w:cs="Times New Roman"/>
          <w:sz w:val="24"/>
          <w:szCs w:val="24"/>
        </w:rPr>
        <w:t xml:space="preserve">Porezni prihodi </w:t>
      </w:r>
      <w:r w:rsidR="00233D6B" w:rsidRPr="00ED74E8">
        <w:rPr>
          <w:rFonts w:ascii="Times New Roman" w:hAnsi="Times New Roman" w:cs="Times New Roman"/>
          <w:sz w:val="24"/>
          <w:szCs w:val="24"/>
        </w:rPr>
        <w:t>realizirani su u iznosu od</w:t>
      </w:r>
      <w:r w:rsidR="00DA74C4" w:rsidRPr="00ED74E8">
        <w:rPr>
          <w:rFonts w:ascii="Times New Roman" w:hAnsi="Times New Roman" w:cs="Times New Roman"/>
          <w:sz w:val="24"/>
          <w:szCs w:val="24"/>
        </w:rPr>
        <w:t xml:space="preserve"> </w:t>
      </w:r>
      <w:r w:rsidR="00DB38CC">
        <w:rPr>
          <w:rFonts w:ascii="Times New Roman" w:hAnsi="Times New Roman" w:cs="Times New Roman"/>
          <w:sz w:val="24"/>
          <w:szCs w:val="24"/>
        </w:rPr>
        <w:t>8.917.743,83</w:t>
      </w:r>
      <w:r w:rsidR="00675077">
        <w:rPr>
          <w:rFonts w:ascii="Times New Roman" w:hAnsi="Times New Roman" w:cs="Times New Roman"/>
          <w:sz w:val="24"/>
          <w:szCs w:val="24"/>
        </w:rPr>
        <w:t xml:space="preserve"> </w:t>
      </w:r>
      <w:r w:rsidR="00033B7E">
        <w:rPr>
          <w:rFonts w:ascii="Times New Roman" w:hAnsi="Times New Roman" w:cs="Times New Roman"/>
          <w:sz w:val="24"/>
          <w:szCs w:val="24"/>
        </w:rPr>
        <w:t>eura</w:t>
      </w:r>
      <w:r w:rsidR="00233D6B" w:rsidRPr="00EC3EAF">
        <w:rPr>
          <w:rFonts w:ascii="Times New Roman" w:hAnsi="Times New Roman" w:cs="Times New Roman"/>
          <w:sz w:val="24"/>
          <w:szCs w:val="24"/>
        </w:rPr>
        <w:t>. U odnos</w:t>
      </w:r>
      <w:r w:rsidR="00F97EF3" w:rsidRPr="00EC3EAF">
        <w:rPr>
          <w:rFonts w:ascii="Times New Roman" w:hAnsi="Times New Roman" w:cs="Times New Roman"/>
          <w:sz w:val="24"/>
          <w:szCs w:val="24"/>
        </w:rPr>
        <w:t xml:space="preserve">u na Plan realizirani su </w:t>
      </w:r>
      <w:r w:rsidR="00CD6939" w:rsidRPr="00EC3EAF">
        <w:rPr>
          <w:rFonts w:ascii="Times New Roman" w:hAnsi="Times New Roman" w:cs="Times New Roman"/>
          <w:sz w:val="24"/>
          <w:szCs w:val="24"/>
        </w:rPr>
        <w:t>u</w:t>
      </w:r>
      <w:r w:rsidR="000C78AA" w:rsidRPr="00EC3EAF">
        <w:rPr>
          <w:rFonts w:ascii="Times New Roman" w:hAnsi="Times New Roman" w:cs="Times New Roman"/>
          <w:sz w:val="24"/>
          <w:szCs w:val="24"/>
        </w:rPr>
        <w:t xml:space="preserve"> </w:t>
      </w:r>
      <w:r w:rsidR="00DB38CC">
        <w:rPr>
          <w:rFonts w:ascii="Times New Roman" w:hAnsi="Times New Roman" w:cs="Times New Roman"/>
          <w:sz w:val="24"/>
          <w:szCs w:val="24"/>
        </w:rPr>
        <w:t>5</w:t>
      </w:r>
      <w:r w:rsidR="002C08A7">
        <w:rPr>
          <w:rFonts w:ascii="Times New Roman" w:hAnsi="Times New Roman" w:cs="Times New Roman"/>
          <w:sz w:val="24"/>
          <w:szCs w:val="24"/>
        </w:rPr>
        <w:t>5</w:t>
      </w:r>
      <w:r w:rsidR="00F97EF3" w:rsidRPr="00EC3EAF">
        <w:rPr>
          <w:rFonts w:ascii="Times New Roman" w:hAnsi="Times New Roman" w:cs="Times New Roman"/>
          <w:sz w:val="24"/>
          <w:szCs w:val="24"/>
        </w:rPr>
        <w:t>%</w:t>
      </w:r>
      <w:r w:rsidR="00DA74C4" w:rsidRPr="00EC3EAF">
        <w:rPr>
          <w:rFonts w:ascii="Times New Roman" w:hAnsi="Times New Roman" w:cs="Times New Roman"/>
          <w:sz w:val="24"/>
          <w:szCs w:val="24"/>
        </w:rPr>
        <w:t xml:space="preserve"> </w:t>
      </w:r>
      <w:r w:rsidR="00CD6939" w:rsidRPr="00EC3EA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D6939" w:rsidRPr="00EC3EAF">
        <w:rPr>
          <w:rFonts w:ascii="Times New Roman" w:hAnsi="Times New Roman" w:cs="Times New Roman"/>
          <w:sz w:val="24"/>
          <w:szCs w:val="24"/>
        </w:rPr>
        <w:t>tnom</w:t>
      </w:r>
      <w:proofErr w:type="spellEnd"/>
      <w:r w:rsidR="00CD6939" w:rsidRPr="00EC3EAF">
        <w:rPr>
          <w:rFonts w:ascii="Times New Roman" w:hAnsi="Times New Roman" w:cs="Times New Roman"/>
          <w:sz w:val="24"/>
          <w:szCs w:val="24"/>
        </w:rPr>
        <w:t xml:space="preserve"> iznosu </w:t>
      </w:r>
      <w:r w:rsidR="004F5DB7" w:rsidRPr="00EC3EAF">
        <w:rPr>
          <w:rFonts w:ascii="Times New Roman" w:hAnsi="Times New Roman" w:cs="Times New Roman"/>
          <w:sz w:val="24"/>
          <w:szCs w:val="24"/>
        </w:rPr>
        <w:t>što predstavlja</w:t>
      </w:r>
      <w:r w:rsidR="00CE4421" w:rsidRPr="00EC3EAF">
        <w:rPr>
          <w:rFonts w:ascii="Times New Roman" w:hAnsi="Times New Roman" w:cs="Times New Roman"/>
          <w:sz w:val="24"/>
          <w:szCs w:val="24"/>
        </w:rPr>
        <w:t xml:space="preserve"> </w:t>
      </w:r>
      <w:r w:rsidR="0066412A" w:rsidRPr="00EC3EAF">
        <w:rPr>
          <w:rFonts w:ascii="Times New Roman" w:hAnsi="Times New Roman" w:cs="Times New Roman"/>
          <w:sz w:val="24"/>
          <w:szCs w:val="24"/>
        </w:rPr>
        <w:t xml:space="preserve">za </w:t>
      </w:r>
      <w:r w:rsidR="00DB38CC">
        <w:rPr>
          <w:rFonts w:ascii="Times New Roman" w:hAnsi="Times New Roman" w:cs="Times New Roman"/>
          <w:sz w:val="24"/>
          <w:szCs w:val="24"/>
        </w:rPr>
        <w:t>21</w:t>
      </w:r>
      <w:r w:rsidR="0066412A" w:rsidRPr="00EC3EAF">
        <w:rPr>
          <w:rFonts w:ascii="Times New Roman" w:hAnsi="Times New Roman" w:cs="Times New Roman"/>
          <w:sz w:val="24"/>
          <w:szCs w:val="24"/>
        </w:rPr>
        <w:t xml:space="preserve">% </w:t>
      </w:r>
      <w:r w:rsidR="004F5DB7" w:rsidRPr="00EC3EAF">
        <w:rPr>
          <w:rFonts w:ascii="Times New Roman" w:hAnsi="Times New Roman" w:cs="Times New Roman"/>
          <w:sz w:val="24"/>
          <w:szCs w:val="24"/>
        </w:rPr>
        <w:t>u</w:t>
      </w:r>
      <w:r w:rsidR="00EC3EAF" w:rsidRPr="00EC3EAF">
        <w:rPr>
          <w:rFonts w:ascii="Times New Roman" w:hAnsi="Times New Roman" w:cs="Times New Roman"/>
          <w:sz w:val="24"/>
          <w:szCs w:val="24"/>
        </w:rPr>
        <w:t>većanu</w:t>
      </w:r>
      <w:r w:rsidR="0066412A" w:rsidRPr="00EC3EAF">
        <w:rPr>
          <w:rFonts w:ascii="Times New Roman" w:hAnsi="Times New Roman" w:cs="Times New Roman"/>
          <w:sz w:val="24"/>
          <w:szCs w:val="24"/>
        </w:rPr>
        <w:t xml:space="preserve"> </w:t>
      </w:r>
      <w:r w:rsidR="00CE4421" w:rsidRPr="00EC3EAF">
        <w:rPr>
          <w:rFonts w:ascii="Times New Roman" w:hAnsi="Times New Roman" w:cs="Times New Roman"/>
          <w:sz w:val="24"/>
          <w:szCs w:val="24"/>
        </w:rPr>
        <w:t>realizacij</w:t>
      </w:r>
      <w:r w:rsidR="0066412A" w:rsidRPr="00EC3EAF">
        <w:rPr>
          <w:rFonts w:ascii="Times New Roman" w:hAnsi="Times New Roman" w:cs="Times New Roman"/>
          <w:sz w:val="24"/>
          <w:szCs w:val="24"/>
        </w:rPr>
        <w:t>u</w:t>
      </w:r>
      <w:r w:rsidR="004F5DB7" w:rsidRPr="00EC3EAF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CD6939" w:rsidRPr="00EC3EAF">
        <w:rPr>
          <w:rFonts w:ascii="Times New Roman" w:hAnsi="Times New Roman" w:cs="Times New Roman"/>
          <w:sz w:val="24"/>
          <w:szCs w:val="24"/>
        </w:rPr>
        <w:t xml:space="preserve"> prvo polugodišt</w:t>
      </w:r>
      <w:r w:rsidR="004F5DB7" w:rsidRPr="00EC3EAF">
        <w:rPr>
          <w:rFonts w:ascii="Times New Roman" w:hAnsi="Times New Roman" w:cs="Times New Roman"/>
          <w:sz w:val="24"/>
          <w:szCs w:val="24"/>
        </w:rPr>
        <w:t>e</w:t>
      </w:r>
      <w:r w:rsidR="00CD6939" w:rsidRPr="00EC3EAF">
        <w:rPr>
          <w:rFonts w:ascii="Times New Roman" w:hAnsi="Times New Roman" w:cs="Times New Roman"/>
          <w:sz w:val="24"/>
          <w:szCs w:val="24"/>
        </w:rPr>
        <w:t xml:space="preserve"> prethodne proračunske godine.</w:t>
      </w:r>
    </w:p>
    <w:p w14:paraId="72AE959D" w14:textId="72C2BECE" w:rsidR="006426F1" w:rsidRPr="00887DA9" w:rsidRDefault="000E13B5" w:rsidP="00421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DA9">
        <w:rPr>
          <w:rFonts w:ascii="Times New Roman" w:hAnsi="Times New Roman" w:cs="Times New Roman"/>
          <w:b/>
          <w:sz w:val="24"/>
          <w:szCs w:val="24"/>
        </w:rPr>
        <w:t>Prihodi od poreza</w:t>
      </w:r>
      <w:r w:rsidR="00DB0D5C" w:rsidRPr="0088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DA9">
        <w:rPr>
          <w:rFonts w:ascii="Times New Roman" w:hAnsi="Times New Roman" w:cs="Times New Roman"/>
          <w:b/>
          <w:sz w:val="24"/>
          <w:szCs w:val="24"/>
        </w:rPr>
        <w:t>na dohodak</w:t>
      </w:r>
      <w:r w:rsidR="001B7726" w:rsidRPr="0088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24F" w:rsidRPr="00887DA9">
        <w:rPr>
          <w:rFonts w:ascii="Times New Roman" w:hAnsi="Times New Roman" w:cs="Times New Roman"/>
          <w:b/>
          <w:sz w:val="24"/>
          <w:szCs w:val="24"/>
        </w:rPr>
        <w:t xml:space="preserve">ostvareni su </w:t>
      </w:r>
      <w:r w:rsidR="000C78AA" w:rsidRPr="00887DA9">
        <w:rPr>
          <w:rFonts w:ascii="Times New Roman" w:hAnsi="Times New Roman" w:cs="Times New Roman"/>
          <w:b/>
          <w:sz w:val="24"/>
          <w:szCs w:val="24"/>
        </w:rPr>
        <w:t>u visini od</w:t>
      </w:r>
      <w:r w:rsidR="00033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8CC">
        <w:rPr>
          <w:rFonts w:ascii="Times New Roman" w:hAnsi="Times New Roman" w:cs="Times New Roman"/>
          <w:b/>
          <w:sz w:val="24"/>
          <w:szCs w:val="24"/>
        </w:rPr>
        <w:t>6.472.780,87</w:t>
      </w:r>
      <w:r w:rsidR="00033B7E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="007F047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EAE9AC0" w14:textId="00DE73EE" w:rsidR="00092D89" w:rsidRPr="00B307AD" w:rsidRDefault="007F047F" w:rsidP="00575EA1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F3D12" w:rsidRPr="004D637E">
        <w:rPr>
          <w:rFonts w:ascii="Times New Roman" w:hAnsi="Times New Roman" w:cs="Times New Roman"/>
          <w:sz w:val="24"/>
          <w:szCs w:val="24"/>
        </w:rPr>
        <w:t xml:space="preserve">s udjelom od </w:t>
      </w:r>
      <w:r w:rsidR="00033B7E">
        <w:rPr>
          <w:rFonts w:ascii="Times New Roman" w:hAnsi="Times New Roman" w:cs="Times New Roman"/>
          <w:sz w:val="24"/>
          <w:szCs w:val="24"/>
        </w:rPr>
        <w:t>7</w:t>
      </w:r>
      <w:r w:rsidR="002A2CCC">
        <w:rPr>
          <w:rFonts w:ascii="Times New Roman" w:hAnsi="Times New Roman" w:cs="Times New Roman"/>
          <w:sz w:val="24"/>
          <w:szCs w:val="24"/>
        </w:rPr>
        <w:t>2</w:t>
      </w:r>
      <w:r w:rsidR="00FF3D12" w:rsidRPr="004D637E">
        <w:rPr>
          <w:rFonts w:ascii="Times New Roman" w:hAnsi="Times New Roman" w:cs="Times New Roman"/>
          <w:sz w:val="24"/>
          <w:szCs w:val="24"/>
        </w:rPr>
        <w:t>%</w:t>
      </w:r>
      <w:r w:rsidR="002C08A7">
        <w:rPr>
          <w:rFonts w:ascii="Times New Roman" w:hAnsi="Times New Roman" w:cs="Times New Roman"/>
          <w:sz w:val="24"/>
          <w:szCs w:val="24"/>
        </w:rPr>
        <w:t xml:space="preserve"> </w:t>
      </w:r>
      <w:r w:rsidR="006426F1" w:rsidRPr="004D637E">
        <w:rPr>
          <w:rFonts w:ascii="Times New Roman" w:hAnsi="Times New Roman" w:cs="Times New Roman"/>
          <w:sz w:val="24"/>
          <w:szCs w:val="24"/>
        </w:rPr>
        <w:t>vrijednosno su najznačajniji pri</w:t>
      </w:r>
      <w:r w:rsidR="00DB0D5C" w:rsidRPr="004D637E">
        <w:rPr>
          <w:rFonts w:ascii="Times New Roman" w:hAnsi="Times New Roman" w:cs="Times New Roman"/>
          <w:sz w:val="24"/>
          <w:szCs w:val="24"/>
        </w:rPr>
        <w:t xml:space="preserve">hodi u skupini poreznih prihoda. Njihova je realizacija </w:t>
      </w:r>
      <w:r w:rsidR="0051432E" w:rsidRPr="004D637E">
        <w:rPr>
          <w:rFonts w:ascii="Times New Roman" w:hAnsi="Times New Roman" w:cs="Times New Roman"/>
          <w:sz w:val="24"/>
          <w:szCs w:val="24"/>
        </w:rPr>
        <w:t xml:space="preserve">u </w:t>
      </w:r>
      <w:r w:rsidR="00092D89" w:rsidRPr="004D637E">
        <w:rPr>
          <w:rFonts w:ascii="Times New Roman" w:hAnsi="Times New Roman" w:cs="Times New Roman"/>
          <w:sz w:val="24"/>
          <w:szCs w:val="24"/>
        </w:rPr>
        <w:t>prvom polugodištu 20</w:t>
      </w:r>
      <w:r w:rsidR="00026842" w:rsidRPr="004D637E">
        <w:rPr>
          <w:rFonts w:ascii="Times New Roman" w:hAnsi="Times New Roman" w:cs="Times New Roman"/>
          <w:sz w:val="24"/>
          <w:szCs w:val="24"/>
        </w:rPr>
        <w:t>2</w:t>
      </w:r>
      <w:r w:rsidR="00DB38CC">
        <w:rPr>
          <w:rFonts w:ascii="Times New Roman" w:hAnsi="Times New Roman" w:cs="Times New Roman"/>
          <w:sz w:val="24"/>
          <w:szCs w:val="24"/>
        </w:rPr>
        <w:t>4</w:t>
      </w:r>
      <w:r w:rsidR="0083055A" w:rsidRPr="004D637E">
        <w:rPr>
          <w:rFonts w:ascii="Times New Roman" w:hAnsi="Times New Roman" w:cs="Times New Roman"/>
          <w:sz w:val="24"/>
          <w:szCs w:val="24"/>
        </w:rPr>
        <w:t xml:space="preserve">. </w:t>
      </w:r>
      <w:r w:rsidR="00092D89" w:rsidRPr="004D637E">
        <w:rPr>
          <w:rFonts w:ascii="Times New Roman" w:hAnsi="Times New Roman" w:cs="Times New Roman"/>
          <w:sz w:val="24"/>
          <w:szCs w:val="24"/>
        </w:rPr>
        <w:t>godine u odnosu</w:t>
      </w:r>
      <w:r w:rsidR="00F97EF3" w:rsidRPr="004D637E">
        <w:rPr>
          <w:rFonts w:ascii="Times New Roman" w:hAnsi="Times New Roman" w:cs="Times New Roman"/>
          <w:sz w:val="24"/>
          <w:szCs w:val="24"/>
        </w:rPr>
        <w:t xml:space="preserve"> na prethodnu godinu </w:t>
      </w:r>
      <w:r w:rsidR="004D637E" w:rsidRPr="004D637E">
        <w:rPr>
          <w:rFonts w:ascii="Times New Roman" w:hAnsi="Times New Roman" w:cs="Times New Roman"/>
          <w:sz w:val="24"/>
          <w:szCs w:val="24"/>
        </w:rPr>
        <w:t>uvećana</w:t>
      </w:r>
      <w:r w:rsidR="00FF3D12" w:rsidRPr="004D637E">
        <w:rPr>
          <w:rFonts w:ascii="Times New Roman" w:hAnsi="Times New Roman" w:cs="Times New Roman"/>
          <w:sz w:val="24"/>
          <w:szCs w:val="24"/>
        </w:rPr>
        <w:t xml:space="preserve"> za </w:t>
      </w:r>
      <w:r w:rsidR="00DB38CC">
        <w:rPr>
          <w:rFonts w:ascii="Times New Roman" w:hAnsi="Times New Roman" w:cs="Times New Roman"/>
          <w:sz w:val="24"/>
          <w:szCs w:val="24"/>
        </w:rPr>
        <w:t>26</w:t>
      </w:r>
      <w:r w:rsidR="00FF3D12" w:rsidRPr="004D637E">
        <w:rPr>
          <w:rFonts w:ascii="Times New Roman" w:hAnsi="Times New Roman" w:cs="Times New Roman"/>
          <w:sz w:val="24"/>
          <w:szCs w:val="24"/>
        </w:rPr>
        <w:t xml:space="preserve">%, te je prema </w:t>
      </w:r>
      <w:r w:rsidR="00F30FFF">
        <w:rPr>
          <w:rFonts w:ascii="Times New Roman" w:hAnsi="Times New Roman" w:cs="Times New Roman"/>
          <w:sz w:val="24"/>
          <w:szCs w:val="24"/>
        </w:rPr>
        <w:t>pojedinoj vrsti reali</w:t>
      </w:r>
      <w:r w:rsidR="00FF3D12" w:rsidRPr="004D637E">
        <w:rPr>
          <w:rFonts w:ascii="Times New Roman" w:hAnsi="Times New Roman" w:cs="Times New Roman"/>
          <w:sz w:val="24"/>
          <w:szCs w:val="24"/>
        </w:rPr>
        <w:t>zirano:</w:t>
      </w:r>
      <w:r w:rsidR="00742514" w:rsidRPr="004D637E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Svijetlosjenanje-Isticanje11"/>
        <w:tblW w:w="9171" w:type="dxa"/>
        <w:tblLook w:val="04A0" w:firstRow="1" w:lastRow="0" w:firstColumn="1" w:lastColumn="0" w:noHBand="0" w:noVBand="1"/>
      </w:tblPr>
      <w:tblGrid>
        <w:gridCol w:w="520"/>
        <w:gridCol w:w="6158"/>
        <w:gridCol w:w="1596"/>
        <w:gridCol w:w="897"/>
      </w:tblGrid>
      <w:tr w:rsidR="00B60B96" w:rsidRPr="00C1139B" w14:paraId="2A572178" w14:textId="77777777" w:rsidTr="00C40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hideMark/>
          </w:tcPr>
          <w:p w14:paraId="7B73952F" w14:textId="77777777" w:rsidR="00426E4A" w:rsidRPr="00C1139B" w:rsidRDefault="00170E5F" w:rsidP="00650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noWrap/>
            <w:hideMark/>
          </w:tcPr>
          <w:p w14:paraId="1C2F1952" w14:textId="77777777" w:rsidR="00426E4A" w:rsidRPr="00C40125" w:rsidRDefault="00426E4A" w:rsidP="00650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</w:rPr>
              <w:t>Porez na dohodak od nesamostalnog rada – udio grada</w:t>
            </w:r>
            <w:r w:rsidR="00F6492E" w:rsidRPr="00C4012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96" w:type="dxa"/>
            <w:noWrap/>
          </w:tcPr>
          <w:p w14:paraId="55EB3255" w14:textId="4B20CF59" w:rsidR="00426E4A" w:rsidRPr="00C40125" w:rsidRDefault="00033B7E" w:rsidP="002C08A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B60B96" w:rsidRPr="00C40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939.405,63</w:t>
            </w:r>
          </w:p>
        </w:tc>
        <w:tc>
          <w:tcPr>
            <w:tcW w:w="897" w:type="dxa"/>
            <w:noWrap/>
            <w:hideMark/>
          </w:tcPr>
          <w:p w14:paraId="3AF6D506" w14:textId="77777777" w:rsidR="00426E4A" w:rsidRPr="00C1139B" w:rsidRDefault="00426E4A" w:rsidP="00650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96" w:rsidRPr="00C1139B" w14:paraId="63572DF6" w14:textId="77777777" w:rsidTr="00C40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hideMark/>
          </w:tcPr>
          <w:p w14:paraId="6BABCDB6" w14:textId="77777777" w:rsidR="00331D33" w:rsidRPr="00C1139B" w:rsidRDefault="00331D33" w:rsidP="00650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noWrap/>
            <w:hideMark/>
          </w:tcPr>
          <w:p w14:paraId="38FFA625" w14:textId="77777777" w:rsidR="00331D33" w:rsidRPr="00C40125" w:rsidRDefault="00331D33" w:rsidP="00331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</w:rPr>
              <w:t>Porez na dohodak od samostalnih djelatnosti</w:t>
            </w:r>
          </w:p>
        </w:tc>
        <w:tc>
          <w:tcPr>
            <w:tcW w:w="1596" w:type="dxa"/>
            <w:noWrap/>
          </w:tcPr>
          <w:p w14:paraId="4295A9FD" w14:textId="4F9F7BCF" w:rsidR="00331D33" w:rsidRPr="00C40125" w:rsidRDefault="00B60B96" w:rsidP="00331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616.316,93</w:t>
            </w:r>
          </w:p>
        </w:tc>
        <w:tc>
          <w:tcPr>
            <w:tcW w:w="897" w:type="dxa"/>
            <w:noWrap/>
            <w:hideMark/>
          </w:tcPr>
          <w:p w14:paraId="02A732DE" w14:textId="77777777" w:rsidR="00331D33" w:rsidRPr="00C1139B" w:rsidRDefault="00331D33" w:rsidP="0065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96" w:rsidRPr="00C1139B" w14:paraId="47778619" w14:textId="77777777" w:rsidTr="00C401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hideMark/>
          </w:tcPr>
          <w:p w14:paraId="228B22DE" w14:textId="77777777" w:rsidR="00331D33" w:rsidRPr="00C1139B" w:rsidRDefault="00331D33" w:rsidP="00650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noWrap/>
            <w:hideMark/>
          </w:tcPr>
          <w:p w14:paraId="4EC569BA" w14:textId="77777777" w:rsidR="00331D33" w:rsidRPr="00C40125" w:rsidRDefault="00331D33" w:rsidP="00331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</w:rPr>
              <w:t>Porez na dohodak od imovine i imovinskih prava</w:t>
            </w:r>
          </w:p>
        </w:tc>
        <w:tc>
          <w:tcPr>
            <w:tcW w:w="1596" w:type="dxa"/>
            <w:noWrap/>
          </w:tcPr>
          <w:p w14:paraId="0675DE90" w14:textId="54D72890" w:rsidR="00331D33" w:rsidRPr="00C40125" w:rsidRDefault="00B60B96" w:rsidP="00331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443.605,68</w:t>
            </w:r>
          </w:p>
        </w:tc>
        <w:tc>
          <w:tcPr>
            <w:tcW w:w="897" w:type="dxa"/>
            <w:noWrap/>
            <w:hideMark/>
          </w:tcPr>
          <w:p w14:paraId="72E7F38E" w14:textId="77777777" w:rsidR="00331D33" w:rsidRPr="00C1139B" w:rsidRDefault="00331D33" w:rsidP="0065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96" w:rsidRPr="00C1139B" w14:paraId="637E043C" w14:textId="77777777" w:rsidTr="00C40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</w:tcPr>
          <w:p w14:paraId="4F603C21" w14:textId="77777777" w:rsidR="00331D33" w:rsidRPr="00C1139B" w:rsidRDefault="00331D33"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noWrap/>
          </w:tcPr>
          <w:p w14:paraId="39EFB008" w14:textId="77777777" w:rsidR="00331D33" w:rsidRPr="00C40125" w:rsidRDefault="00331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</w:rPr>
              <w:t>Porez na dohodak od kapitala</w:t>
            </w:r>
          </w:p>
        </w:tc>
        <w:tc>
          <w:tcPr>
            <w:tcW w:w="1596" w:type="dxa"/>
            <w:noWrap/>
          </w:tcPr>
          <w:p w14:paraId="3B40E7EA" w14:textId="2273260A" w:rsidR="00331D33" w:rsidRPr="00C40125" w:rsidRDefault="00B60B96" w:rsidP="00331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890.558,61</w:t>
            </w:r>
          </w:p>
        </w:tc>
        <w:tc>
          <w:tcPr>
            <w:tcW w:w="897" w:type="dxa"/>
            <w:noWrap/>
          </w:tcPr>
          <w:p w14:paraId="440DE103" w14:textId="77777777" w:rsidR="00331D33" w:rsidRPr="00C1139B" w:rsidRDefault="00331D33" w:rsidP="0065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96" w:rsidRPr="00C1139B" w14:paraId="26047B58" w14:textId="77777777" w:rsidTr="00C401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</w:tcPr>
          <w:p w14:paraId="74754AF5" w14:textId="77777777" w:rsidR="002C08A7" w:rsidRPr="00C1139B" w:rsidRDefault="002C0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noWrap/>
          </w:tcPr>
          <w:p w14:paraId="52C99F0D" w14:textId="77777777" w:rsidR="002C08A7" w:rsidRPr="00C40125" w:rsidRDefault="002C0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</w:rPr>
              <w:t>Porez na dohodak po godišnjoj prijavi</w:t>
            </w:r>
          </w:p>
        </w:tc>
        <w:tc>
          <w:tcPr>
            <w:tcW w:w="1596" w:type="dxa"/>
            <w:noWrap/>
          </w:tcPr>
          <w:p w14:paraId="1BE78DEA" w14:textId="7179CF64" w:rsidR="002C08A7" w:rsidRPr="00C40125" w:rsidRDefault="00B60B96" w:rsidP="00331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572.673,11</w:t>
            </w:r>
          </w:p>
        </w:tc>
        <w:tc>
          <w:tcPr>
            <w:tcW w:w="897" w:type="dxa"/>
            <w:noWrap/>
          </w:tcPr>
          <w:p w14:paraId="1D3C1BD5" w14:textId="77777777" w:rsidR="002C08A7" w:rsidRPr="00C1139B" w:rsidRDefault="002C08A7" w:rsidP="0065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96" w:rsidRPr="00C1139B" w14:paraId="7DE387E8" w14:textId="77777777" w:rsidTr="00C40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</w:tcPr>
          <w:p w14:paraId="14FCA4F4" w14:textId="77777777" w:rsidR="00331D33" w:rsidRPr="00C1139B" w:rsidRDefault="00331D33"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noWrap/>
          </w:tcPr>
          <w:p w14:paraId="3B50F125" w14:textId="77777777" w:rsidR="00331D33" w:rsidRPr="00C40125" w:rsidRDefault="00331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</w:rPr>
              <w:t>Porez na dohodak utvrđen u postupku nadzora za prethodne godine</w:t>
            </w:r>
          </w:p>
        </w:tc>
        <w:tc>
          <w:tcPr>
            <w:tcW w:w="1596" w:type="dxa"/>
            <w:noWrap/>
          </w:tcPr>
          <w:p w14:paraId="2B3FDD61" w14:textId="655DFA9A" w:rsidR="00331D33" w:rsidRPr="00C40125" w:rsidRDefault="00B60B96" w:rsidP="00331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48.645,71</w:t>
            </w:r>
          </w:p>
        </w:tc>
        <w:tc>
          <w:tcPr>
            <w:tcW w:w="897" w:type="dxa"/>
            <w:noWrap/>
          </w:tcPr>
          <w:p w14:paraId="4C1C89E9" w14:textId="77777777" w:rsidR="00331D33" w:rsidRPr="00C1139B" w:rsidRDefault="00331D33" w:rsidP="00650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96" w:rsidRPr="00C1139B" w14:paraId="032A200C" w14:textId="77777777" w:rsidTr="00C4012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</w:tcPr>
          <w:p w14:paraId="1CE1CE70" w14:textId="77777777" w:rsidR="00331D33" w:rsidRPr="00C1139B" w:rsidRDefault="00331D33"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noWrap/>
          </w:tcPr>
          <w:p w14:paraId="1DB95B9B" w14:textId="77777777" w:rsidR="00331D33" w:rsidRPr="00C40125" w:rsidRDefault="00331D33" w:rsidP="00331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</w:rPr>
              <w:t>Povrat poreza na dohodak po godišnjoj prijavi</w:t>
            </w:r>
          </w:p>
        </w:tc>
        <w:tc>
          <w:tcPr>
            <w:tcW w:w="1596" w:type="dxa"/>
            <w:noWrap/>
          </w:tcPr>
          <w:p w14:paraId="6AFC16A2" w14:textId="2F152E81" w:rsidR="00331D33" w:rsidRPr="00C40125" w:rsidRDefault="00D845A0" w:rsidP="00033B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0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B60B96" w:rsidRPr="00C401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1.038.424,80</w:t>
            </w:r>
          </w:p>
        </w:tc>
        <w:tc>
          <w:tcPr>
            <w:tcW w:w="897" w:type="dxa"/>
            <w:noWrap/>
          </w:tcPr>
          <w:p w14:paraId="63FD3012" w14:textId="77777777" w:rsidR="00331D33" w:rsidRPr="00C1139B" w:rsidRDefault="00331D33" w:rsidP="0065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84A490" w14:textId="77777777" w:rsidR="00C40125" w:rsidRDefault="00C40125" w:rsidP="00C60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E4F7F" w14:textId="4EB60257" w:rsidR="007F047F" w:rsidRDefault="000E13B5" w:rsidP="00C60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E69">
        <w:rPr>
          <w:rFonts w:ascii="Times New Roman" w:hAnsi="Times New Roman" w:cs="Times New Roman"/>
          <w:b/>
          <w:sz w:val="24"/>
          <w:szCs w:val="24"/>
        </w:rPr>
        <w:t>Prihodi od poreza na promet nekretnina</w:t>
      </w:r>
      <w:r w:rsidR="004A4D0A" w:rsidRPr="00424E69">
        <w:rPr>
          <w:rFonts w:ascii="Times New Roman" w:hAnsi="Times New Roman" w:cs="Times New Roman"/>
          <w:b/>
          <w:sz w:val="24"/>
          <w:szCs w:val="24"/>
        </w:rPr>
        <w:t xml:space="preserve"> ostvareni</w:t>
      </w:r>
      <w:r w:rsidR="00A6524F" w:rsidRPr="00424E69">
        <w:rPr>
          <w:rFonts w:ascii="Times New Roman" w:hAnsi="Times New Roman" w:cs="Times New Roman"/>
          <w:b/>
          <w:sz w:val="24"/>
          <w:szCs w:val="24"/>
        </w:rPr>
        <w:t xml:space="preserve"> su </w:t>
      </w:r>
      <w:r w:rsidRPr="00424E69">
        <w:rPr>
          <w:rFonts w:ascii="Times New Roman" w:hAnsi="Times New Roman" w:cs="Times New Roman"/>
          <w:b/>
          <w:sz w:val="24"/>
          <w:szCs w:val="24"/>
        </w:rPr>
        <w:t xml:space="preserve">u iznosu </w:t>
      </w:r>
      <w:r w:rsidR="00F30FFF">
        <w:rPr>
          <w:rFonts w:ascii="Times New Roman" w:hAnsi="Times New Roman" w:cs="Times New Roman"/>
          <w:b/>
          <w:sz w:val="24"/>
          <w:szCs w:val="24"/>
        </w:rPr>
        <w:t>1.</w:t>
      </w:r>
      <w:r w:rsidR="00B60B96">
        <w:rPr>
          <w:rFonts w:ascii="Times New Roman" w:hAnsi="Times New Roman" w:cs="Times New Roman"/>
          <w:b/>
          <w:sz w:val="24"/>
          <w:szCs w:val="24"/>
        </w:rPr>
        <w:t>394.981,49</w:t>
      </w:r>
      <w:r w:rsidR="00F30FFF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="00742514" w:rsidRPr="008554B9">
        <w:rPr>
          <w:rFonts w:ascii="Times New Roman" w:hAnsi="Times New Roman" w:cs="Times New Roman"/>
          <w:sz w:val="24"/>
          <w:szCs w:val="24"/>
        </w:rPr>
        <w:t xml:space="preserve">, </w:t>
      </w:r>
      <w:r w:rsidR="00D845A0">
        <w:rPr>
          <w:rFonts w:ascii="Times New Roman" w:hAnsi="Times New Roman" w:cs="Times New Roman"/>
          <w:sz w:val="24"/>
          <w:szCs w:val="24"/>
        </w:rPr>
        <w:t xml:space="preserve">čime je realizirano </w:t>
      </w:r>
      <w:r w:rsidR="00B60B96">
        <w:rPr>
          <w:rFonts w:ascii="Times New Roman" w:hAnsi="Times New Roman" w:cs="Times New Roman"/>
          <w:sz w:val="24"/>
          <w:szCs w:val="24"/>
        </w:rPr>
        <w:t>57</w:t>
      </w:r>
      <w:r w:rsidR="00742514" w:rsidRPr="008554B9">
        <w:rPr>
          <w:rFonts w:ascii="Times New Roman" w:hAnsi="Times New Roman" w:cs="Times New Roman"/>
          <w:sz w:val="24"/>
          <w:szCs w:val="24"/>
        </w:rPr>
        <w:t>%</w:t>
      </w:r>
      <w:r w:rsidR="00A72DE3" w:rsidRPr="008554B9">
        <w:rPr>
          <w:rFonts w:ascii="Times New Roman" w:hAnsi="Times New Roman" w:cs="Times New Roman"/>
          <w:sz w:val="24"/>
          <w:szCs w:val="24"/>
        </w:rPr>
        <w:t xml:space="preserve"> P</w:t>
      </w:r>
      <w:r w:rsidRPr="008554B9">
        <w:rPr>
          <w:rFonts w:ascii="Times New Roman" w:hAnsi="Times New Roman" w:cs="Times New Roman"/>
          <w:sz w:val="24"/>
          <w:szCs w:val="24"/>
        </w:rPr>
        <w:t>lana</w:t>
      </w:r>
      <w:r w:rsidR="00B14149" w:rsidRPr="008554B9">
        <w:rPr>
          <w:rFonts w:ascii="Times New Roman" w:hAnsi="Times New Roman" w:cs="Times New Roman"/>
          <w:sz w:val="24"/>
          <w:szCs w:val="24"/>
        </w:rPr>
        <w:t>,</w:t>
      </w:r>
      <w:r w:rsidRPr="008554B9">
        <w:rPr>
          <w:rFonts w:ascii="Times New Roman" w:hAnsi="Times New Roman" w:cs="Times New Roman"/>
          <w:sz w:val="24"/>
          <w:szCs w:val="24"/>
        </w:rPr>
        <w:t xml:space="preserve"> </w:t>
      </w:r>
      <w:r w:rsidR="00A72DE3" w:rsidRPr="008554B9">
        <w:rPr>
          <w:rFonts w:ascii="Times New Roman" w:hAnsi="Times New Roman" w:cs="Times New Roman"/>
          <w:sz w:val="24"/>
          <w:szCs w:val="24"/>
        </w:rPr>
        <w:t xml:space="preserve">a u odnosu </w:t>
      </w:r>
      <w:r w:rsidR="00742514" w:rsidRPr="008554B9">
        <w:rPr>
          <w:rFonts w:ascii="Times New Roman" w:hAnsi="Times New Roman" w:cs="Times New Roman"/>
          <w:sz w:val="24"/>
          <w:szCs w:val="24"/>
        </w:rPr>
        <w:t>na</w:t>
      </w:r>
      <w:r w:rsidR="00A72DE3" w:rsidRPr="008554B9">
        <w:rPr>
          <w:rFonts w:ascii="Times New Roman" w:hAnsi="Times New Roman" w:cs="Times New Roman"/>
          <w:sz w:val="24"/>
          <w:szCs w:val="24"/>
        </w:rPr>
        <w:t xml:space="preserve"> jednako izvještajno razdoblje prethodne godine </w:t>
      </w:r>
      <w:r w:rsidR="00F30FFF">
        <w:rPr>
          <w:rFonts w:ascii="Times New Roman" w:hAnsi="Times New Roman" w:cs="Times New Roman"/>
          <w:sz w:val="24"/>
          <w:szCs w:val="24"/>
        </w:rPr>
        <w:t>manji su za 1</w:t>
      </w:r>
      <w:r w:rsidR="00B60B96">
        <w:rPr>
          <w:rFonts w:ascii="Times New Roman" w:hAnsi="Times New Roman" w:cs="Times New Roman"/>
          <w:sz w:val="24"/>
          <w:szCs w:val="24"/>
        </w:rPr>
        <w:t>2</w:t>
      </w:r>
      <w:r w:rsidR="00F30FFF">
        <w:rPr>
          <w:rFonts w:ascii="Times New Roman" w:hAnsi="Times New Roman" w:cs="Times New Roman"/>
          <w:sz w:val="24"/>
          <w:szCs w:val="24"/>
        </w:rPr>
        <w:t>%.</w:t>
      </w:r>
      <w:r w:rsidR="00A72DE3" w:rsidRPr="00424E69">
        <w:rPr>
          <w:rFonts w:ascii="Times New Roman" w:hAnsi="Times New Roman" w:cs="Times New Roman"/>
          <w:sz w:val="24"/>
          <w:szCs w:val="24"/>
        </w:rPr>
        <w:t xml:space="preserve"> </w:t>
      </w:r>
      <w:r w:rsidR="00742514" w:rsidRPr="00424E69">
        <w:rPr>
          <w:rFonts w:ascii="Times New Roman" w:hAnsi="Times New Roman" w:cs="Times New Roman"/>
          <w:sz w:val="24"/>
          <w:szCs w:val="24"/>
        </w:rPr>
        <w:t xml:space="preserve">U ukupnim poreznim </w:t>
      </w:r>
      <w:r w:rsidR="00F30FFF">
        <w:rPr>
          <w:rFonts w:ascii="Times New Roman" w:hAnsi="Times New Roman" w:cs="Times New Roman"/>
          <w:sz w:val="24"/>
          <w:szCs w:val="24"/>
        </w:rPr>
        <w:t>prihodima</w:t>
      </w:r>
      <w:r w:rsidR="00742514" w:rsidRPr="00424E69">
        <w:rPr>
          <w:rFonts w:ascii="Times New Roman" w:hAnsi="Times New Roman" w:cs="Times New Roman"/>
          <w:sz w:val="24"/>
          <w:szCs w:val="24"/>
        </w:rPr>
        <w:t xml:space="preserve"> navedeni porez ima udio od </w:t>
      </w:r>
      <w:r w:rsidR="00B60B96">
        <w:rPr>
          <w:rFonts w:ascii="Times New Roman" w:hAnsi="Times New Roman" w:cs="Times New Roman"/>
          <w:sz w:val="24"/>
          <w:szCs w:val="24"/>
        </w:rPr>
        <w:t>15</w:t>
      </w:r>
      <w:r w:rsidR="00742514" w:rsidRPr="00424E69">
        <w:rPr>
          <w:rFonts w:ascii="Times New Roman" w:hAnsi="Times New Roman" w:cs="Times New Roman"/>
          <w:sz w:val="24"/>
          <w:szCs w:val="24"/>
        </w:rPr>
        <w:t>%.</w:t>
      </w:r>
      <w:r w:rsidR="00F317F8" w:rsidRPr="00424E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10210" w14:textId="26BE2570" w:rsidR="00492313" w:rsidRPr="00675077" w:rsidRDefault="000E13B5" w:rsidP="00675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89D">
        <w:rPr>
          <w:rFonts w:ascii="Times New Roman" w:hAnsi="Times New Roman" w:cs="Times New Roman"/>
          <w:b/>
          <w:sz w:val="24"/>
          <w:szCs w:val="24"/>
        </w:rPr>
        <w:lastRenderedPageBreak/>
        <w:t>Prihodi od gradskih</w:t>
      </w:r>
      <w:r w:rsidR="00293439" w:rsidRPr="00CC489D">
        <w:rPr>
          <w:rFonts w:ascii="Times New Roman" w:hAnsi="Times New Roman" w:cs="Times New Roman"/>
          <w:b/>
          <w:sz w:val="24"/>
          <w:szCs w:val="24"/>
        </w:rPr>
        <w:t xml:space="preserve"> (lokalnih)</w:t>
      </w:r>
      <w:r w:rsidRPr="00CC489D">
        <w:rPr>
          <w:rFonts w:ascii="Times New Roman" w:hAnsi="Times New Roman" w:cs="Times New Roman"/>
          <w:b/>
          <w:sz w:val="24"/>
          <w:szCs w:val="24"/>
        </w:rPr>
        <w:t xml:space="preserve"> poreza</w:t>
      </w:r>
      <w:r w:rsidR="00A6524F" w:rsidRPr="00CC489D">
        <w:rPr>
          <w:rFonts w:ascii="Times New Roman" w:hAnsi="Times New Roman" w:cs="Times New Roman"/>
          <w:b/>
          <w:sz w:val="24"/>
          <w:szCs w:val="24"/>
        </w:rPr>
        <w:t xml:space="preserve"> ostvareni su </w:t>
      </w:r>
      <w:r w:rsidR="00A72DE3" w:rsidRPr="00CC489D">
        <w:rPr>
          <w:rFonts w:ascii="Times New Roman" w:hAnsi="Times New Roman" w:cs="Times New Roman"/>
          <w:b/>
          <w:sz w:val="24"/>
          <w:szCs w:val="24"/>
        </w:rPr>
        <w:t xml:space="preserve">visini od </w:t>
      </w:r>
      <w:r w:rsidR="00675077">
        <w:rPr>
          <w:rFonts w:ascii="Times New Roman" w:hAnsi="Times New Roman" w:cs="Times New Roman"/>
          <w:b/>
          <w:sz w:val="24"/>
          <w:szCs w:val="24"/>
        </w:rPr>
        <w:t>1.049.980,00</w:t>
      </w:r>
      <w:r w:rsidR="00F30FFF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="00AB120C" w:rsidRPr="00CC48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120C" w:rsidRPr="00CC489D">
        <w:rPr>
          <w:rFonts w:ascii="Times New Roman" w:hAnsi="Times New Roman" w:cs="Times New Roman"/>
          <w:sz w:val="24"/>
          <w:szCs w:val="24"/>
        </w:rPr>
        <w:t xml:space="preserve">što predstavlja </w:t>
      </w:r>
      <w:r w:rsidR="00675077">
        <w:rPr>
          <w:rFonts w:ascii="Times New Roman" w:hAnsi="Times New Roman" w:cs="Times New Roman"/>
          <w:sz w:val="24"/>
          <w:szCs w:val="24"/>
        </w:rPr>
        <w:t>25</w:t>
      </w:r>
      <w:r w:rsidR="00AB120C" w:rsidRPr="00CC489D">
        <w:rPr>
          <w:rFonts w:ascii="Times New Roman" w:hAnsi="Times New Roman" w:cs="Times New Roman"/>
          <w:sz w:val="24"/>
          <w:szCs w:val="24"/>
        </w:rPr>
        <w:t>%</w:t>
      </w:r>
      <w:r w:rsidR="00675077">
        <w:rPr>
          <w:rFonts w:ascii="Times New Roman" w:hAnsi="Times New Roman" w:cs="Times New Roman"/>
          <w:sz w:val="24"/>
          <w:szCs w:val="24"/>
        </w:rPr>
        <w:t xml:space="preserve"> povećanje </w:t>
      </w:r>
      <w:r w:rsidR="00AB120C" w:rsidRPr="00CC489D">
        <w:rPr>
          <w:rFonts w:ascii="Times New Roman" w:hAnsi="Times New Roman" w:cs="Times New Roman"/>
          <w:sz w:val="24"/>
          <w:szCs w:val="24"/>
        </w:rPr>
        <w:t>u odnosu na isti period prethodne godine</w:t>
      </w:r>
      <w:r w:rsidR="00293439" w:rsidRPr="00CC4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47F">
        <w:rPr>
          <w:rFonts w:ascii="Times New Roman" w:hAnsi="Times New Roman" w:cs="Times New Roman"/>
          <w:sz w:val="24"/>
          <w:szCs w:val="24"/>
        </w:rPr>
        <w:t>a</w:t>
      </w:r>
      <w:r w:rsidR="004A4D0A" w:rsidRPr="00CC4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D0A" w:rsidRPr="00CC489D">
        <w:rPr>
          <w:rFonts w:ascii="Times New Roman" w:hAnsi="Times New Roman" w:cs="Times New Roman"/>
          <w:sz w:val="24"/>
          <w:szCs w:val="24"/>
        </w:rPr>
        <w:t>odnose se na poreze prikazane</w:t>
      </w:r>
      <w:r w:rsidR="00A72DE3" w:rsidRPr="00CC489D">
        <w:rPr>
          <w:rFonts w:ascii="Times New Roman" w:hAnsi="Times New Roman" w:cs="Times New Roman"/>
          <w:sz w:val="24"/>
          <w:szCs w:val="24"/>
        </w:rPr>
        <w:t xml:space="preserve"> u nastavku:</w:t>
      </w:r>
    </w:p>
    <w:tbl>
      <w:tblPr>
        <w:tblW w:w="9134" w:type="dxa"/>
        <w:tblInd w:w="93" w:type="dxa"/>
        <w:tblLook w:val="04A0" w:firstRow="1" w:lastRow="0" w:firstColumn="1" w:lastColumn="0" w:noHBand="0" w:noVBand="1"/>
      </w:tblPr>
      <w:tblGrid>
        <w:gridCol w:w="520"/>
        <w:gridCol w:w="6158"/>
        <w:gridCol w:w="1559"/>
        <w:gridCol w:w="897"/>
      </w:tblGrid>
      <w:tr w:rsidR="00B307AD" w:rsidRPr="00B307AD" w14:paraId="34336049" w14:textId="77777777" w:rsidTr="007C71F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DF20" w14:textId="77777777" w:rsidR="00865BCF" w:rsidRPr="00D137FF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BB1E" w14:textId="77777777" w:rsidR="00865BCF" w:rsidRPr="00D137FF" w:rsidRDefault="00865BCF" w:rsidP="00A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FF">
              <w:rPr>
                <w:rFonts w:ascii="Times New Roman" w:eastAsia="Times New Roman" w:hAnsi="Times New Roman" w:cs="Times New Roman"/>
                <w:sz w:val="24"/>
                <w:szCs w:val="24"/>
              </w:rPr>
              <w:t>Porez na kuće za odmor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B6EB4" w14:textId="190CA6F6" w:rsidR="00865BCF" w:rsidRPr="00D137FF" w:rsidRDefault="00CB6898" w:rsidP="00FF3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625.573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AC29" w14:textId="77777777" w:rsidR="00865BCF" w:rsidRPr="00D137FF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7AD" w:rsidRPr="00B307AD" w14:paraId="51EC7A28" w14:textId="77777777" w:rsidTr="007C71F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9D9F" w14:textId="77777777" w:rsidR="00865BCF" w:rsidRPr="00D137FF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B315" w14:textId="77777777" w:rsidR="00865BCF" w:rsidRPr="00D137FF" w:rsidRDefault="00865BCF" w:rsidP="00A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FF">
              <w:rPr>
                <w:rFonts w:ascii="Times New Roman" w:eastAsia="Times New Roman" w:hAnsi="Times New Roman" w:cs="Times New Roman"/>
                <w:sz w:val="24"/>
                <w:szCs w:val="24"/>
              </w:rPr>
              <w:t>Porez na korištenje javnih površina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E9B1" w14:textId="2BD9DED2" w:rsidR="00865BCF" w:rsidRPr="00D137FF" w:rsidRDefault="00CB6898" w:rsidP="00FF3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266.699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2CEE" w14:textId="77777777" w:rsidR="00865BCF" w:rsidRPr="00D137FF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7AD" w:rsidRPr="00B307AD" w14:paraId="626243DA" w14:textId="77777777" w:rsidTr="007C71F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63F" w14:textId="77777777" w:rsidR="00865BCF" w:rsidRPr="00F22F65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374C" w14:textId="77777777" w:rsidR="00865BCF" w:rsidRPr="00F22F65" w:rsidRDefault="00865BCF" w:rsidP="00A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65">
              <w:rPr>
                <w:rFonts w:ascii="Times New Roman" w:eastAsia="Times New Roman" w:hAnsi="Times New Roman" w:cs="Times New Roman"/>
                <w:sz w:val="24"/>
                <w:szCs w:val="24"/>
              </w:rPr>
              <w:t>Porez na potrošnju alkoholnih i bezalkoholnih pića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D348E" w14:textId="6F8C700F" w:rsidR="00865BCF" w:rsidRPr="00F22F65" w:rsidRDefault="00F25F05" w:rsidP="00865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157.210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EC2C" w14:textId="77777777" w:rsidR="00865BCF" w:rsidRPr="00B307AD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65BCF" w:rsidRPr="00B307AD" w14:paraId="49B165D0" w14:textId="77777777" w:rsidTr="007C71F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EEA" w14:textId="77777777" w:rsidR="00865BCF" w:rsidRPr="00F22F65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765B" w14:textId="77777777" w:rsidR="00865BCF" w:rsidRPr="00F22F65" w:rsidRDefault="00865BCF" w:rsidP="00A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65">
              <w:rPr>
                <w:rFonts w:ascii="Times New Roman" w:eastAsia="Times New Roman" w:hAnsi="Times New Roman" w:cs="Times New Roman"/>
                <w:sz w:val="24"/>
                <w:szCs w:val="24"/>
              </w:rPr>
              <w:t>Porez na tvrtku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318A" w14:textId="2B4F85C8" w:rsidR="00865BCF" w:rsidRPr="00F22F65" w:rsidRDefault="00CB6898" w:rsidP="00F22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429C" w14:textId="77777777" w:rsidR="00865BCF" w:rsidRPr="00B307AD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</w:tbl>
    <w:p w14:paraId="7360A0FE" w14:textId="77777777" w:rsidR="00C40125" w:rsidRDefault="00C40125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78AA8" w14:textId="76AA03CC" w:rsidR="00833A10" w:rsidRPr="00BA0B8A" w:rsidRDefault="00CB6898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Stalni porezi</w:t>
      </w:r>
      <w:r w:rsidR="00B221F3" w:rsidRPr="00BA0B8A">
        <w:rPr>
          <w:rFonts w:ascii="Times New Roman" w:hAnsi="Times New Roman" w:cs="Times New Roman"/>
          <w:sz w:val="24"/>
          <w:szCs w:val="24"/>
        </w:rPr>
        <w:t xml:space="preserve"> na imovinu, stalni (porez na kuće za odmor i na korištenje javnih površina)  realizirani su u iznosu od </w:t>
      </w:r>
      <w:r>
        <w:rPr>
          <w:rFonts w:ascii="Times New Roman" w:hAnsi="Times New Roman" w:cs="Times New Roman"/>
          <w:sz w:val="24"/>
          <w:szCs w:val="24"/>
        </w:rPr>
        <w:t>892.272</w:t>
      </w:r>
      <w:r w:rsidR="0080431B">
        <w:rPr>
          <w:rFonts w:ascii="Times New Roman" w:hAnsi="Times New Roman" w:cs="Times New Roman"/>
          <w:sz w:val="24"/>
          <w:szCs w:val="24"/>
        </w:rPr>
        <w:t xml:space="preserve"> eura</w:t>
      </w:r>
      <w:r w:rsidR="00B221F3" w:rsidRPr="00BA0B8A">
        <w:rPr>
          <w:rFonts w:ascii="Times New Roman" w:hAnsi="Times New Roman" w:cs="Times New Roman"/>
          <w:sz w:val="24"/>
          <w:szCs w:val="24"/>
        </w:rPr>
        <w:t xml:space="preserve">, čime je </w:t>
      </w:r>
      <w:r w:rsidR="0019637A" w:rsidRPr="00BA0B8A">
        <w:rPr>
          <w:rFonts w:ascii="Times New Roman" w:hAnsi="Times New Roman" w:cs="Times New Roman"/>
          <w:sz w:val="24"/>
          <w:szCs w:val="24"/>
        </w:rPr>
        <w:t xml:space="preserve">u prvoj polovini godine </w:t>
      </w:r>
      <w:r w:rsidR="00B221F3" w:rsidRPr="00BA0B8A">
        <w:rPr>
          <w:rFonts w:ascii="Times New Roman" w:hAnsi="Times New Roman" w:cs="Times New Roman"/>
          <w:sz w:val="24"/>
          <w:szCs w:val="24"/>
        </w:rPr>
        <w:t xml:space="preserve">ostvareno </w:t>
      </w:r>
      <w:r>
        <w:rPr>
          <w:rFonts w:ascii="Times New Roman" w:hAnsi="Times New Roman" w:cs="Times New Roman"/>
          <w:sz w:val="24"/>
          <w:szCs w:val="24"/>
        </w:rPr>
        <w:t>54</w:t>
      </w:r>
      <w:r w:rsidR="00B221F3" w:rsidRPr="00BA0B8A">
        <w:rPr>
          <w:rFonts w:ascii="Times New Roman" w:hAnsi="Times New Roman" w:cs="Times New Roman"/>
          <w:sz w:val="24"/>
          <w:szCs w:val="24"/>
        </w:rPr>
        <w:t xml:space="preserve">% Plana. </w:t>
      </w:r>
    </w:p>
    <w:p w14:paraId="0C0F2979" w14:textId="58EC18AD" w:rsidR="002051E2" w:rsidRDefault="00B221F3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29A">
        <w:rPr>
          <w:rFonts w:ascii="Times New Roman" w:hAnsi="Times New Roman" w:cs="Times New Roman"/>
          <w:sz w:val="24"/>
          <w:szCs w:val="24"/>
        </w:rPr>
        <w:t>Porezi na robu i usluge (</w:t>
      </w:r>
      <w:r w:rsidR="00833A10" w:rsidRPr="0041129A">
        <w:rPr>
          <w:rFonts w:ascii="Times New Roman" w:hAnsi="Times New Roman" w:cs="Times New Roman"/>
          <w:sz w:val="24"/>
          <w:szCs w:val="24"/>
        </w:rPr>
        <w:t xml:space="preserve">porez na potrošnju i porez na tvrtku) realizirani su u visini od </w:t>
      </w:r>
      <w:r w:rsidR="0080431B">
        <w:rPr>
          <w:rFonts w:ascii="Times New Roman" w:hAnsi="Times New Roman" w:cs="Times New Roman"/>
          <w:sz w:val="24"/>
          <w:szCs w:val="24"/>
        </w:rPr>
        <w:t>1</w:t>
      </w:r>
      <w:r w:rsidR="00CB6898">
        <w:rPr>
          <w:rFonts w:ascii="Times New Roman" w:hAnsi="Times New Roman" w:cs="Times New Roman"/>
          <w:sz w:val="24"/>
          <w:szCs w:val="24"/>
        </w:rPr>
        <w:t>57.709</w:t>
      </w:r>
      <w:r w:rsidR="003A1B28" w:rsidRPr="0041129A">
        <w:rPr>
          <w:rFonts w:ascii="Times New Roman" w:hAnsi="Times New Roman" w:cs="Times New Roman"/>
          <w:sz w:val="24"/>
          <w:szCs w:val="24"/>
        </w:rPr>
        <w:t xml:space="preserve"> </w:t>
      </w:r>
      <w:r w:rsidR="0080431B">
        <w:rPr>
          <w:rFonts w:ascii="Times New Roman" w:hAnsi="Times New Roman" w:cs="Times New Roman"/>
          <w:sz w:val="24"/>
          <w:szCs w:val="24"/>
        </w:rPr>
        <w:t>eura</w:t>
      </w:r>
      <w:r w:rsidR="00833A10" w:rsidRPr="0041129A">
        <w:rPr>
          <w:rFonts w:ascii="Times New Roman" w:hAnsi="Times New Roman" w:cs="Times New Roman"/>
          <w:sz w:val="24"/>
          <w:szCs w:val="24"/>
        </w:rPr>
        <w:t xml:space="preserve"> s realizacijom od </w:t>
      </w:r>
      <w:r w:rsidR="00393A70" w:rsidRPr="0041129A">
        <w:rPr>
          <w:rFonts w:ascii="Times New Roman" w:hAnsi="Times New Roman" w:cs="Times New Roman"/>
          <w:sz w:val="24"/>
          <w:szCs w:val="24"/>
        </w:rPr>
        <w:t>2</w:t>
      </w:r>
      <w:r w:rsidR="00CB6898">
        <w:rPr>
          <w:rFonts w:ascii="Times New Roman" w:hAnsi="Times New Roman" w:cs="Times New Roman"/>
          <w:sz w:val="24"/>
          <w:szCs w:val="24"/>
        </w:rPr>
        <w:t>6</w:t>
      </w:r>
      <w:r w:rsidR="00393A70" w:rsidRPr="0041129A">
        <w:rPr>
          <w:rFonts w:ascii="Times New Roman" w:hAnsi="Times New Roman" w:cs="Times New Roman"/>
          <w:sz w:val="24"/>
          <w:szCs w:val="24"/>
        </w:rPr>
        <w:t xml:space="preserve">% </w:t>
      </w:r>
      <w:r w:rsidR="00833A10" w:rsidRPr="0041129A">
        <w:rPr>
          <w:rFonts w:ascii="Times New Roman" w:hAnsi="Times New Roman" w:cs="Times New Roman"/>
          <w:sz w:val="24"/>
          <w:szCs w:val="24"/>
        </w:rPr>
        <w:t>Plan</w:t>
      </w:r>
      <w:r w:rsidR="00EC7E95" w:rsidRPr="0041129A">
        <w:rPr>
          <w:rFonts w:ascii="Times New Roman" w:hAnsi="Times New Roman" w:cs="Times New Roman"/>
          <w:sz w:val="24"/>
          <w:szCs w:val="24"/>
        </w:rPr>
        <w:t>a za 20</w:t>
      </w:r>
      <w:r w:rsidR="00A80022" w:rsidRPr="0041129A">
        <w:rPr>
          <w:rFonts w:ascii="Times New Roman" w:hAnsi="Times New Roman" w:cs="Times New Roman"/>
          <w:sz w:val="24"/>
          <w:szCs w:val="24"/>
        </w:rPr>
        <w:t>2</w:t>
      </w:r>
      <w:r w:rsidR="00CB6898">
        <w:rPr>
          <w:rFonts w:ascii="Times New Roman" w:hAnsi="Times New Roman" w:cs="Times New Roman"/>
          <w:sz w:val="24"/>
          <w:szCs w:val="24"/>
        </w:rPr>
        <w:t>4</w:t>
      </w:r>
      <w:r w:rsidR="00EC7E95" w:rsidRPr="0041129A">
        <w:rPr>
          <w:rFonts w:ascii="Times New Roman" w:hAnsi="Times New Roman" w:cs="Times New Roman"/>
          <w:sz w:val="24"/>
          <w:szCs w:val="24"/>
        </w:rPr>
        <w:t xml:space="preserve">. godinu. </w:t>
      </w:r>
      <w:r w:rsidR="007C74D6" w:rsidRPr="0041129A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6B677F" w:rsidRPr="0041129A">
        <w:rPr>
          <w:rFonts w:ascii="Times New Roman" w:hAnsi="Times New Roman" w:cs="Times New Roman"/>
          <w:sz w:val="24"/>
          <w:szCs w:val="24"/>
        </w:rPr>
        <w:t>navedenih</w:t>
      </w:r>
      <w:r w:rsidR="007C74D6" w:rsidRPr="0041129A">
        <w:rPr>
          <w:rFonts w:ascii="Times New Roman" w:hAnsi="Times New Roman" w:cs="Times New Roman"/>
          <w:sz w:val="24"/>
          <w:szCs w:val="24"/>
        </w:rPr>
        <w:t xml:space="preserve"> poreza je u usporedbi s prethodnim izvještajnim razdobljem</w:t>
      </w:r>
      <w:r w:rsidR="00F171E9" w:rsidRPr="0041129A">
        <w:rPr>
          <w:rFonts w:ascii="Times New Roman" w:hAnsi="Times New Roman" w:cs="Times New Roman"/>
          <w:sz w:val="24"/>
          <w:szCs w:val="24"/>
        </w:rPr>
        <w:t xml:space="preserve"> </w:t>
      </w:r>
      <w:r w:rsidR="00393A70" w:rsidRPr="0041129A">
        <w:rPr>
          <w:rFonts w:ascii="Times New Roman" w:hAnsi="Times New Roman" w:cs="Times New Roman"/>
          <w:sz w:val="24"/>
          <w:szCs w:val="24"/>
        </w:rPr>
        <w:t xml:space="preserve">veća za </w:t>
      </w:r>
      <w:r w:rsidR="00CB6898">
        <w:rPr>
          <w:rFonts w:ascii="Times New Roman" w:hAnsi="Times New Roman" w:cs="Times New Roman"/>
          <w:sz w:val="24"/>
          <w:szCs w:val="24"/>
        </w:rPr>
        <w:t>13</w:t>
      </w:r>
      <w:r w:rsidR="0080431B">
        <w:rPr>
          <w:rFonts w:ascii="Times New Roman" w:hAnsi="Times New Roman" w:cs="Times New Roman"/>
          <w:sz w:val="24"/>
          <w:szCs w:val="24"/>
        </w:rPr>
        <w:t>%.</w:t>
      </w:r>
    </w:p>
    <w:p w14:paraId="5847A216" w14:textId="420B50AE" w:rsidR="00C552F2" w:rsidRDefault="00C552F2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2F568" w14:textId="147847C5" w:rsidR="00C552F2" w:rsidRDefault="00C552F2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poreznih prihoda prikazana je slijedećim grafikonom</w:t>
      </w:r>
      <w:r w:rsidR="00AD0276">
        <w:rPr>
          <w:rFonts w:ascii="Times New Roman" w:hAnsi="Times New Roman" w:cs="Times New Roman"/>
          <w:sz w:val="24"/>
          <w:szCs w:val="24"/>
        </w:rPr>
        <w:t>.</w:t>
      </w:r>
    </w:p>
    <w:p w14:paraId="6565FFC5" w14:textId="1512130B" w:rsidR="00AD0276" w:rsidRDefault="00AD0276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144BD" w14:textId="3252A82F" w:rsidR="00AD0276" w:rsidRPr="00AD0276" w:rsidRDefault="00AD0276" w:rsidP="00C60F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</w:rPr>
        <w:t>Grafikon 1. POREZNI PRIHODI</w:t>
      </w:r>
    </w:p>
    <w:p w14:paraId="413DB8CD" w14:textId="73551137" w:rsidR="00C552F2" w:rsidRDefault="00C552F2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0184F" w14:textId="2769707B" w:rsidR="00C552F2" w:rsidRDefault="002A2CCC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0CE45F" wp14:editId="0BD81BD2">
            <wp:extent cx="5888270" cy="2731552"/>
            <wp:effectExtent l="0" t="0" r="17780" b="1206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A6A2AE61-BEB7-45A3-8A7B-105711EC61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B14814" w14:textId="77777777" w:rsidR="00A00160" w:rsidRPr="0041129A" w:rsidRDefault="00A00160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6C194" w14:textId="2E3AE3DC" w:rsidR="00E16A6C" w:rsidRPr="00D03F0B" w:rsidRDefault="00A32EC2" w:rsidP="00833A10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A6C" w:rsidRPr="00D03F0B">
        <w:rPr>
          <w:rFonts w:ascii="Times New Roman" w:hAnsi="Times New Roman" w:cs="Times New Roman"/>
          <w:b/>
          <w:sz w:val="24"/>
          <w:szCs w:val="24"/>
        </w:rPr>
        <w:t>PO</w:t>
      </w:r>
      <w:r w:rsidR="00C60F67" w:rsidRPr="00D03F0B">
        <w:rPr>
          <w:rFonts w:ascii="Times New Roman" w:hAnsi="Times New Roman" w:cs="Times New Roman"/>
          <w:b/>
          <w:sz w:val="24"/>
          <w:szCs w:val="24"/>
        </w:rPr>
        <w:t>MOĆI OD INOZEMSTVA (DAROVNICE</w:t>
      </w:r>
      <w:r w:rsidR="00D41CF4" w:rsidRPr="00D03F0B">
        <w:rPr>
          <w:rFonts w:ascii="Times New Roman" w:hAnsi="Times New Roman" w:cs="Times New Roman"/>
          <w:b/>
          <w:sz w:val="24"/>
          <w:szCs w:val="24"/>
        </w:rPr>
        <w:t>)</w:t>
      </w:r>
      <w:r w:rsidR="00E16A6C" w:rsidRPr="00D03F0B">
        <w:rPr>
          <w:rFonts w:ascii="Times New Roman" w:hAnsi="Times New Roman" w:cs="Times New Roman"/>
          <w:b/>
          <w:sz w:val="24"/>
          <w:szCs w:val="24"/>
        </w:rPr>
        <w:t xml:space="preserve"> I OD SUBJEKATA UNUTAR OPĆEG PRORAČUNA</w:t>
      </w:r>
    </w:p>
    <w:p w14:paraId="3A8D20B6" w14:textId="77777777" w:rsidR="00796249" w:rsidRPr="00D03F0B" w:rsidRDefault="00796249" w:rsidP="00575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978B8" w14:textId="57354EB4" w:rsidR="0039430C" w:rsidRPr="00D03F0B" w:rsidRDefault="00854129" w:rsidP="0052079E">
      <w:pPr>
        <w:pStyle w:val="Tijeloteksta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0B">
        <w:rPr>
          <w:rFonts w:ascii="Times New Roman" w:hAnsi="Times New Roman" w:cs="Times New Roman"/>
          <w:sz w:val="24"/>
          <w:szCs w:val="24"/>
        </w:rPr>
        <w:t>Pomoći su planiran</w:t>
      </w:r>
      <w:r w:rsidR="0026588A" w:rsidRPr="00D03F0B">
        <w:rPr>
          <w:rFonts w:ascii="Times New Roman" w:hAnsi="Times New Roman" w:cs="Times New Roman"/>
          <w:sz w:val="24"/>
          <w:szCs w:val="24"/>
        </w:rPr>
        <w:t xml:space="preserve">e u iznosu od </w:t>
      </w:r>
      <w:r w:rsidR="003232D2" w:rsidRPr="00D03F0B">
        <w:rPr>
          <w:rFonts w:ascii="Times New Roman" w:hAnsi="Times New Roman" w:cs="Times New Roman"/>
          <w:sz w:val="24"/>
          <w:szCs w:val="24"/>
        </w:rPr>
        <w:t>14.477.852</w:t>
      </w:r>
      <w:r w:rsidR="00FE0D03" w:rsidRPr="00D03F0B">
        <w:rPr>
          <w:rFonts w:ascii="Times New Roman" w:hAnsi="Times New Roman" w:cs="Times New Roman"/>
          <w:sz w:val="24"/>
          <w:szCs w:val="24"/>
        </w:rPr>
        <w:t xml:space="preserve"> eura</w:t>
      </w:r>
      <w:r w:rsidR="0026588A" w:rsidRPr="00D03F0B">
        <w:rPr>
          <w:rFonts w:ascii="Times New Roman" w:hAnsi="Times New Roman" w:cs="Times New Roman"/>
          <w:sz w:val="24"/>
          <w:szCs w:val="24"/>
        </w:rPr>
        <w:t xml:space="preserve"> a ostvarene </w:t>
      </w:r>
      <w:r w:rsidR="006D1349" w:rsidRPr="00D03F0B">
        <w:rPr>
          <w:rFonts w:ascii="Times New Roman" w:hAnsi="Times New Roman" w:cs="Times New Roman"/>
          <w:sz w:val="24"/>
          <w:szCs w:val="24"/>
        </w:rPr>
        <w:t>u</w:t>
      </w:r>
      <w:r w:rsidR="0095037C" w:rsidRPr="00D03F0B">
        <w:rPr>
          <w:rFonts w:ascii="Times New Roman" w:hAnsi="Times New Roman" w:cs="Times New Roman"/>
          <w:sz w:val="24"/>
          <w:szCs w:val="24"/>
        </w:rPr>
        <w:t xml:space="preserve"> visini od</w:t>
      </w:r>
      <w:r w:rsidR="001947E4" w:rsidRPr="00D03F0B">
        <w:rPr>
          <w:rFonts w:ascii="Times New Roman" w:hAnsi="Times New Roman" w:cs="Times New Roman"/>
          <w:sz w:val="24"/>
          <w:szCs w:val="24"/>
        </w:rPr>
        <w:t xml:space="preserve"> </w:t>
      </w:r>
      <w:r w:rsidR="003232D2" w:rsidRPr="00D03F0B">
        <w:rPr>
          <w:rFonts w:ascii="Times New Roman" w:hAnsi="Times New Roman" w:cs="Times New Roman"/>
          <w:sz w:val="24"/>
          <w:szCs w:val="24"/>
        </w:rPr>
        <w:t>4.725.212,11</w:t>
      </w:r>
      <w:r w:rsidR="00FE0D03" w:rsidRPr="00D03F0B">
        <w:rPr>
          <w:rFonts w:ascii="Times New Roman" w:hAnsi="Times New Roman" w:cs="Times New Roman"/>
          <w:sz w:val="24"/>
          <w:szCs w:val="24"/>
        </w:rPr>
        <w:t xml:space="preserve"> eura</w:t>
      </w:r>
      <w:r w:rsidR="0095037C" w:rsidRPr="00D03F0B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FE0D03" w:rsidRPr="00D03F0B">
        <w:rPr>
          <w:rFonts w:ascii="Times New Roman" w:hAnsi="Times New Roman" w:cs="Times New Roman"/>
          <w:sz w:val="24"/>
          <w:szCs w:val="24"/>
        </w:rPr>
        <w:t>3</w:t>
      </w:r>
      <w:r w:rsidR="003232D2" w:rsidRPr="00D03F0B">
        <w:rPr>
          <w:rFonts w:ascii="Times New Roman" w:hAnsi="Times New Roman" w:cs="Times New Roman"/>
          <w:sz w:val="24"/>
          <w:szCs w:val="24"/>
        </w:rPr>
        <w:t>3</w:t>
      </w:r>
      <w:r w:rsidR="006D1349" w:rsidRPr="00D03F0B">
        <w:rPr>
          <w:rFonts w:ascii="Times New Roman" w:hAnsi="Times New Roman" w:cs="Times New Roman"/>
          <w:sz w:val="24"/>
          <w:szCs w:val="24"/>
        </w:rPr>
        <w:t xml:space="preserve">% </w:t>
      </w:r>
      <w:r w:rsidR="0026588A" w:rsidRPr="00D03F0B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DB76BE" w:rsidRPr="00D03F0B">
        <w:rPr>
          <w:rFonts w:ascii="Times New Roman" w:hAnsi="Times New Roman" w:cs="Times New Roman"/>
          <w:sz w:val="24"/>
          <w:szCs w:val="24"/>
        </w:rPr>
        <w:t>P</w:t>
      </w:r>
      <w:r w:rsidR="0026588A" w:rsidRPr="00D03F0B">
        <w:rPr>
          <w:rFonts w:ascii="Times New Roman" w:hAnsi="Times New Roman" w:cs="Times New Roman"/>
          <w:sz w:val="24"/>
          <w:szCs w:val="24"/>
        </w:rPr>
        <w:t>lana</w:t>
      </w:r>
      <w:r w:rsidR="00170E5F" w:rsidRPr="00D03F0B">
        <w:rPr>
          <w:rFonts w:ascii="Times New Roman" w:hAnsi="Times New Roman" w:cs="Times New Roman"/>
          <w:sz w:val="24"/>
          <w:szCs w:val="24"/>
        </w:rPr>
        <w:t>.</w:t>
      </w:r>
      <w:r w:rsidR="00EF69C8" w:rsidRPr="00D03F0B">
        <w:rPr>
          <w:rFonts w:ascii="Times New Roman" w:hAnsi="Times New Roman" w:cs="Times New Roman"/>
          <w:sz w:val="24"/>
          <w:szCs w:val="24"/>
        </w:rPr>
        <w:t xml:space="preserve"> </w:t>
      </w:r>
      <w:r w:rsidR="00EC7E95" w:rsidRPr="00D03F0B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EF69C8" w:rsidRPr="00D03F0B">
        <w:rPr>
          <w:rFonts w:ascii="Times New Roman" w:hAnsi="Times New Roman" w:cs="Times New Roman"/>
          <w:sz w:val="24"/>
          <w:szCs w:val="24"/>
        </w:rPr>
        <w:t xml:space="preserve"> isto razdoblj</w:t>
      </w:r>
      <w:r w:rsidR="00EC7E95" w:rsidRPr="00D03F0B">
        <w:rPr>
          <w:rFonts w:ascii="Times New Roman" w:hAnsi="Times New Roman" w:cs="Times New Roman"/>
          <w:sz w:val="24"/>
          <w:szCs w:val="24"/>
        </w:rPr>
        <w:t xml:space="preserve">e prethodne godine njihova je realizacija </w:t>
      </w:r>
      <w:r w:rsidR="00E93483" w:rsidRPr="00D03F0B">
        <w:rPr>
          <w:rFonts w:ascii="Times New Roman" w:hAnsi="Times New Roman" w:cs="Times New Roman"/>
          <w:sz w:val="24"/>
          <w:szCs w:val="24"/>
        </w:rPr>
        <w:t>veća</w:t>
      </w:r>
      <w:r w:rsidR="007C2455" w:rsidRPr="00D03F0B">
        <w:rPr>
          <w:rFonts w:ascii="Times New Roman" w:hAnsi="Times New Roman" w:cs="Times New Roman"/>
          <w:sz w:val="24"/>
          <w:szCs w:val="24"/>
        </w:rPr>
        <w:t xml:space="preserve"> za </w:t>
      </w:r>
      <w:r w:rsidR="003232D2" w:rsidRPr="00D03F0B">
        <w:rPr>
          <w:rFonts w:ascii="Times New Roman" w:hAnsi="Times New Roman" w:cs="Times New Roman"/>
          <w:sz w:val="24"/>
          <w:szCs w:val="24"/>
        </w:rPr>
        <w:t>3</w:t>
      </w:r>
      <w:r w:rsidR="00FE0D03" w:rsidRPr="00D03F0B">
        <w:rPr>
          <w:rFonts w:ascii="Times New Roman" w:hAnsi="Times New Roman" w:cs="Times New Roman"/>
          <w:sz w:val="24"/>
          <w:szCs w:val="24"/>
        </w:rPr>
        <w:t>3</w:t>
      </w:r>
      <w:r w:rsidR="00E93483" w:rsidRPr="00D03F0B">
        <w:rPr>
          <w:rFonts w:ascii="Times New Roman" w:hAnsi="Times New Roman" w:cs="Times New Roman"/>
          <w:sz w:val="24"/>
          <w:szCs w:val="24"/>
        </w:rPr>
        <w:t>%</w:t>
      </w:r>
      <w:r w:rsidR="0039430C" w:rsidRPr="00D03F0B">
        <w:rPr>
          <w:rFonts w:ascii="Times New Roman" w:hAnsi="Times New Roman" w:cs="Times New Roman"/>
          <w:sz w:val="24"/>
          <w:szCs w:val="24"/>
        </w:rPr>
        <w:t xml:space="preserve">. </w:t>
      </w:r>
      <w:r w:rsidR="00B819F6" w:rsidRPr="00D03F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4A360" w14:textId="77777777" w:rsidR="00902602" w:rsidRPr="00B43CEC" w:rsidRDefault="00902602" w:rsidP="00902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č</w:t>
      </w:r>
      <w:r w:rsidRPr="00B43CEC">
        <w:rPr>
          <w:rFonts w:ascii="Times New Roman" w:hAnsi="Times New Roman" w:cs="Times New Roman"/>
          <w:sz w:val="24"/>
          <w:szCs w:val="24"/>
        </w:rPr>
        <w:t xml:space="preserve">ine tekuće i kapitalne pomoći iz proračuna sukladno planovima proračunskih korisnika,  kapitalne pomoći od institucija i tijela EU, pomoći iz državnog proračuna kao tekuće pomoći izravnanja decentraliziranih funkcija (osnovne škole i javna vatrogasna postrojba) i pomoći od ostalih subjekata unutar općeg proračuna. </w:t>
      </w:r>
    </w:p>
    <w:p w14:paraId="795C6FD1" w14:textId="63150064" w:rsidR="00902602" w:rsidRDefault="00902602" w:rsidP="00902602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B43CEC">
        <w:rPr>
          <w:rFonts w:ascii="Times New Roman" w:hAnsi="Times New Roman" w:cs="Times New Roman"/>
          <w:sz w:val="24"/>
          <w:szCs w:val="24"/>
          <w:lang w:val="es-ES"/>
        </w:rPr>
        <w:t>Kako se, u pravilu radi o n</w:t>
      </w:r>
      <w:r>
        <w:rPr>
          <w:rFonts w:ascii="Times New Roman" w:hAnsi="Times New Roman" w:cs="Times New Roman"/>
          <w:sz w:val="24"/>
          <w:szCs w:val="24"/>
          <w:lang w:val="es-ES"/>
        </w:rPr>
        <w:t>amjenskim prihodima, koji su u posebnom dijelu proračuna</w:t>
      </w:r>
      <w:r w:rsidRPr="00B43CEC">
        <w:rPr>
          <w:rFonts w:ascii="Times New Roman" w:hAnsi="Times New Roman" w:cs="Times New Roman"/>
          <w:sz w:val="24"/>
          <w:szCs w:val="24"/>
          <w:lang w:val="es-ES"/>
        </w:rPr>
        <w:t xml:space="preserve"> povezani s namjenskim rashodima, pomoći su uvjetne, odnosno ukoliko se ne ostvare ne realiziraju se ni rashodi. </w:t>
      </w:r>
      <w:r w:rsidRPr="00B307A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                  </w:t>
      </w:r>
    </w:p>
    <w:p w14:paraId="37BCEB5F" w14:textId="1391BC43" w:rsidR="00902602" w:rsidRDefault="00902602" w:rsidP="00D03F0B">
      <w:pPr>
        <w:jc w:val="both"/>
        <w:rPr>
          <w:rFonts w:ascii="Times New Roman" w:hAnsi="Times New Roman" w:cs="Times New Roman"/>
          <w:sz w:val="24"/>
          <w:szCs w:val="24"/>
        </w:rPr>
      </w:pPr>
      <w:r w:rsidRPr="00902602">
        <w:rPr>
          <w:rFonts w:ascii="Times New Roman" w:hAnsi="Times New Roman" w:cs="Times New Roman"/>
          <w:sz w:val="24"/>
          <w:szCs w:val="24"/>
        </w:rPr>
        <w:lastRenderedPageBreak/>
        <w:t>Prihodi od pomoći od međunarodnih organizacija i tijela EU ostvareni su  u iznosu od 25.769 eura kroz projekte TOČKA na P i BALKAN SOLAR ROOFS</w:t>
      </w:r>
      <w:r w:rsidR="00D03F0B">
        <w:rPr>
          <w:rFonts w:ascii="Times New Roman" w:hAnsi="Times New Roman" w:cs="Times New Roman"/>
          <w:sz w:val="24"/>
          <w:szCs w:val="24"/>
        </w:rPr>
        <w:t xml:space="preserve">. Pomoći proračunu iz drugih proračuna realizirani su u iznosu od 563.887 eura i obuhvaćaju sredstva za fiskalnu održivost dječjih vrtića, sredstva za provedbu projekta </w:t>
      </w:r>
      <w:proofErr w:type="spellStart"/>
      <w:r w:rsidR="00D03F0B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="00D03F0B">
        <w:rPr>
          <w:rFonts w:ascii="Times New Roman" w:hAnsi="Times New Roman" w:cs="Times New Roman"/>
          <w:sz w:val="24"/>
          <w:szCs w:val="24"/>
        </w:rPr>
        <w:t xml:space="preserve"> torba zajedništva kao i sredstva namijenjena adaptaciji i opremanju SRC Veli Jože. Pomoći izravnanja za decentralizirane funkcije ostvarene su u iznosu od 1</w:t>
      </w:r>
      <w:r w:rsidR="0098150C">
        <w:rPr>
          <w:rFonts w:ascii="Times New Roman" w:hAnsi="Times New Roman" w:cs="Times New Roman"/>
          <w:sz w:val="24"/>
          <w:szCs w:val="24"/>
        </w:rPr>
        <w:t>77.633</w:t>
      </w:r>
      <w:r w:rsidR="00D03F0B">
        <w:rPr>
          <w:rFonts w:ascii="Times New Roman" w:hAnsi="Times New Roman" w:cs="Times New Roman"/>
          <w:sz w:val="24"/>
          <w:szCs w:val="24"/>
        </w:rPr>
        <w:t xml:space="preserve"> eura </w:t>
      </w:r>
      <w:r w:rsidRPr="00902602">
        <w:rPr>
          <w:rFonts w:ascii="Times New Roman" w:hAnsi="Times New Roman" w:cs="Times New Roman"/>
          <w:sz w:val="24"/>
          <w:szCs w:val="24"/>
        </w:rPr>
        <w:t xml:space="preserve"> </w:t>
      </w:r>
      <w:r w:rsidR="00D03F0B">
        <w:rPr>
          <w:rFonts w:ascii="Times New Roman" w:hAnsi="Times New Roman" w:cs="Times New Roman"/>
          <w:sz w:val="24"/>
          <w:szCs w:val="24"/>
        </w:rPr>
        <w:t>a namijenjene su osnovnom školstvu i vatrogastvu.</w:t>
      </w:r>
    </w:p>
    <w:p w14:paraId="331929D5" w14:textId="5D0D2217" w:rsidR="00902602" w:rsidRPr="00C40125" w:rsidRDefault="00D03F0B" w:rsidP="00C40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udio od 78% u ukupnim pomoćima imaju sredstva namijenjena proračunskom korisnicima koja se isplaćuju iz proračuna koji im nije nadležan,  a odnose se na plaće zaposlenih u osnovnim školama.</w:t>
      </w:r>
    </w:p>
    <w:p w14:paraId="407D155E" w14:textId="6A3A8BE0" w:rsidR="00726F4D" w:rsidRPr="00783749" w:rsidRDefault="001963C8" w:rsidP="00062A41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3749">
        <w:rPr>
          <w:rFonts w:ascii="Times New Roman" w:hAnsi="Times New Roman" w:cs="Times New Roman"/>
          <w:b/>
          <w:sz w:val="24"/>
          <w:szCs w:val="24"/>
        </w:rPr>
        <w:t>PRIHODI OD IMOVINE</w:t>
      </w:r>
    </w:p>
    <w:p w14:paraId="19A9835A" w14:textId="127574A6" w:rsidR="00EC7B4C" w:rsidRPr="00783749" w:rsidRDefault="001963C8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83749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D03F0B" w:rsidRPr="00783749">
        <w:rPr>
          <w:rFonts w:ascii="Times New Roman" w:hAnsi="Times New Roman" w:cs="Times New Roman"/>
          <w:sz w:val="24"/>
          <w:szCs w:val="24"/>
        </w:rPr>
        <w:t>2.332.549</w:t>
      </w:r>
      <w:r w:rsidR="00BC18D5" w:rsidRPr="00783749">
        <w:rPr>
          <w:rFonts w:ascii="Times New Roman" w:hAnsi="Times New Roman" w:cs="Times New Roman"/>
          <w:sz w:val="24"/>
          <w:szCs w:val="24"/>
        </w:rPr>
        <w:t xml:space="preserve"> eura </w:t>
      </w:r>
      <w:r w:rsidRPr="00783749">
        <w:rPr>
          <w:rFonts w:ascii="Times New Roman" w:hAnsi="Times New Roman" w:cs="Times New Roman"/>
          <w:sz w:val="24"/>
          <w:szCs w:val="24"/>
        </w:rPr>
        <w:t xml:space="preserve">a </w:t>
      </w:r>
      <w:r w:rsidR="00062A41" w:rsidRPr="00783749">
        <w:rPr>
          <w:rFonts w:ascii="Times New Roman" w:hAnsi="Times New Roman" w:cs="Times New Roman"/>
          <w:sz w:val="24"/>
          <w:szCs w:val="24"/>
        </w:rPr>
        <w:t>do 30.06.20</w:t>
      </w:r>
      <w:r w:rsidR="00E65089" w:rsidRPr="00783749">
        <w:rPr>
          <w:rFonts w:ascii="Times New Roman" w:hAnsi="Times New Roman" w:cs="Times New Roman"/>
          <w:sz w:val="24"/>
          <w:szCs w:val="24"/>
        </w:rPr>
        <w:t>2</w:t>
      </w:r>
      <w:r w:rsidR="00D03F0B" w:rsidRPr="00783749">
        <w:rPr>
          <w:rFonts w:ascii="Times New Roman" w:hAnsi="Times New Roman" w:cs="Times New Roman"/>
          <w:sz w:val="24"/>
          <w:szCs w:val="24"/>
        </w:rPr>
        <w:t>4</w:t>
      </w:r>
      <w:r w:rsidR="00062A41" w:rsidRPr="00783749">
        <w:rPr>
          <w:rFonts w:ascii="Times New Roman" w:hAnsi="Times New Roman" w:cs="Times New Roman"/>
          <w:sz w:val="24"/>
          <w:szCs w:val="24"/>
        </w:rPr>
        <w:t xml:space="preserve">. godine ostvareni su u visini od </w:t>
      </w:r>
      <w:r w:rsidR="00BC18D5" w:rsidRPr="00783749">
        <w:rPr>
          <w:rFonts w:ascii="Times New Roman" w:hAnsi="Times New Roman" w:cs="Times New Roman"/>
          <w:sz w:val="24"/>
          <w:szCs w:val="24"/>
        </w:rPr>
        <w:t>4</w:t>
      </w:r>
      <w:r w:rsidR="00D03F0B" w:rsidRPr="00783749">
        <w:rPr>
          <w:rFonts w:ascii="Times New Roman" w:hAnsi="Times New Roman" w:cs="Times New Roman"/>
          <w:sz w:val="24"/>
          <w:szCs w:val="24"/>
        </w:rPr>
        <w:t>40.623</w:t>
      </w:r>
      <w:r w:rsidR="00BC18D5" w:rsidRPr="00783749">
        <w:rPr>
          <w:rFonts w:ascii="Times New Roman" w:hAnsi="Times New Roman" w:cs="Times New Roman"/>
          <w:sz w:val="24"/>
          <w:szCs w:val="24"/>
        </w:rPr>
        <w:t xml:space="preserve"> eura</w:t>
      </w:r>
      <w:r w:rsidR="00E65089" w:rsidRPr="00783749">
        <w:rPr>
          <w:rFonts w:ascii="Times New Roman" w:hAnsi="Times New Roman" w:cs="Times New Roman"/>
          <w:sz w:val="24"/>
          <w:szCs w:val="24"/>
        </w:rPr>
        <w:t xml:space="preserve"> </w:t>
      </w:r>
      <w:r w:rsidR="00062A41" w:rsidRPr="00783749">
        <w:rPr>
          <w:rFonts w:ascii="Times New Roman" w:hAnsi="Times New Roman" w:cs="Times New Roman"/>
          <w:sz w:val="24"/>
          <w:szCs w:val="24"/>
        </w:rPr>
        <w:t xml:space="preserve">čime je realizirano </w:t>
      </w:r>
      <w:r w:rsidR="00D03F0B" w:rsidRPr="00783749">
        <w:rPr>
          <w:rFonts w:ascii="Times New Roman" w:hAnsi="Times New Roman" w:cs="Times New Roman"/>
          <w:sz w:val="24"/>
          <w:szCs w:val="24"/>
        </w:rPr>
        <w:t>19</w:t>
      </w:r>
      <w:r w:rsidR="00062A41" w:rsidRPr="00783749">
        <w:rPr>
          <w:rFonts w:ascii="Times New Roman" w:hAnsi="Times New Roman" w:cs="Times New Roman"/>
          <w:sz w:val="24"/>
          <w:szCs w:val="24"/>
        </w:rPr>
        <w:t xml:space="preserve">% Plana. U odnosu na prethodno izvještajno razdoblje iskazani su indeksom </w:t>
      </w:r>
      <w:r w:rsidR="00BC18D5" w:rsidRPr="00783749">
        <w:rPr>
          <w:rFonts w:ascii="Times New Roman" w:hAnsi="Times New Roman" w:cs="Times New Roman"/>
          <w:sz w:val="24"/>
          <w:szCs w:val="24"/>
        </w:rPr>
        <w:t>9</w:t>
      </w:r>
      <w:r w:rsidR="00D03F0B" w:rsidRPr="00783749">
        <w:rPr>
          <w:rFonts w:ascii="Times New Roman" w:hAnsi="Times New Roman" w:cs="Times New Roman"/>
          <w:sz w:val="24"/>
          <w:szCs w:val="24"/>
        </w:rPr>
        <w:t>3</w:t>
      </w:r>
      <w:r w:rsidR="00754AF2" w:rsidRPr="00783749">
        <w:rPr>
          <w:rFonts w:ascii="Times New Roman" w:hAnsi="Times New Roman" w:cs="Times New Roman"/>
          <w:sz w:val="24"/>
          <w:szCs w:val="24"/>
        </w:rPr>
        <w:t>.</w:t>
      </w:r>
      <w:r w:rsidR="00EC7B4C" w:rsidRPr="00783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0E31F" w14:textId="0B261038" w:rsidR="00EC7B4C" w:rsidRPr="00783749" w:rsidRDefault="0069284C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49">
        <w:rPr>
          <w:rFonts w:ascii="Times New Roman" w:hAnsi="Times New Roman" w:cs="Times New Roman"/>
          <w:sz w:val="24"/>
          <w:szCs w:val="24"/>
        </w:rPr>
        <w:t xml:space="preserve">Prihodi od financijske imovine ostvareni su u iznosu od </w:t>
      </w:r>
      <w:r w:rsidR="00D03F0B" w:rsidRPr="00783749">
        <w:rPr>
          <w:rFonts w:ascii="Times New Roman" w:hAnsi="Times New Roman" w:cs="Times New Roman"/>
          <w:sz w:val="24"/>
          <w:szCs w:val="24"/>
        </w:rPr>
        <w:t>137.408</w:t>
      </w:r>
      <w:r w:rsidR="00BC18D5" w:rsidRPr="00783749">
        <w:rPr>
          <w:rFonts w:ascii="Times New Roman" w:hAnsi="Times New Roman" w:cs="Times New Roman"/>
          <w:sz w:val="24"/>
          <w:szCs w:val="24"/>
        </w:rPr>
        <w:t xml:space="preserve"> eura</w:t>
      </w:r>
      <w:r w:rsidRPr="00783749">
        <w:rPr>
          <w:rFonts w:ascii="Times New Roman" w:hAnsi="Times New Roman" w:cs="Times New Roman"/>
          <w:sz w:val="24"/>
          <w:szCs w:val="24"/>
        </w:rPr>
        <w:t xml:space="preserve"> a odnose se </w:t>
      </w:r>
      <w:r w:rsidR="001947E4" w:rsidRPr="00783749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Pr="00783749">
        <w:rPr>
          <w:rFonts w:ascii="Times New Roman" w:hAnsi="Times New Roman" w:cs="Times New Roman"/>
          <w:sz w:val="24"/>
          <w:szCs w:val="24"/>
        </w:rPr>
        <w:t xml:space="preserve">na prihode od </w:t>
      </w:r>
      <w:r w:rsidR="00EC7B4C" w:rsidRPr="00783749">
        <w:rPr>
          <w:rFonts w:ascii="Times New Roman" w:hAnsi="Times New Roman" w:cs="Times New Roman"/>
          <w:sz w:val="24"/>
          <w:szCs w:val="24"/>
        </w:rPr>
        <w:t xml:space="preserve">kamata </w:t>
      </w:r>
      <w:r w:rsidR="0059730B" w:rsidRPr="00783749">
        <w:rPr>
          <w:rFonts w:ascii="Times New Roman" w:hAnsi="Times New Roman" w:cs="Times New Roman"/>
          <w:sz w:val="24"/>
          <w:szCs w:val="24"/>
        </w:rPr>
        <w:t xml:space="preserve">na  oročena sredstva i depozite po viđenju i prihode od zateznih kamata </w:t>
      </w:r>
      <w:r w:rsidR="00EC7B4C" w:rsidRPr="00783749">
        <w:rPr>
          <w:rFonts w:ascii="Times New Roman" w:hAnsi="Times New Roman" w:cs="Times New Roman"/>
          <w:sz w:val="24"/>
          <w:szCs w:val="24"/>
        </w:rPr>
        <w:t>koje se obračunavaju</w:t>
      </w:r>
      <w:r w:rsidR="00D73EC7" w:rsidRPr="00783749">
        <w:rPr>
          <w:rFonts w:ascii="Times New Roman" w:hAnsi="Times New Roman" w:cs="Times New Roman"/>
          <w:sz w:val="24"/>
          <w:szCs w:val="24"/>
        </w:rPr>
        <w:t xml:space="preserve"> na dospjela potraživanja Grada</w:t>
      </w:r>
      <w:r w:rsidR="001947E4" w:rsidRPr="00783749">
        <w:rPr>
          <w:rFonts w:ascii="Times New Roman" w:hAnsi="Times New Roman" w:cs="Times New Roman"/>
          <w:sz w:val="24"/>
          <w:szCs w:val="24"/>
        </w:rPr>
        <w:t>.</w:t>
      </w:r>
    </w:p>
    <w:p w14:paraId="299660B1" w14:textId="7A332386" w:rsidR="00AD0276" w:rsidRDefault="00EC7B4C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83749">
        <w:rPr>
          <w:rFonts w:ascii="Times New Roman" w:hAnsi="Times New Roman" w:cs="Times New Roman"/>
          <w:sz w:val="24"/>
          <w:szCs w:val="24"/>
        </w:rPr>
        <w:t>Prihodi od nefinancijske imovine re</w:t>
      </w:r>
      <w:r w:rsidR="00B27BD6" w:rsidRPr="00783749">
        <w:rPr>
          <w:rFonts w:ascii="Times New Roman" w:hAnsi="Times New Roman" w:cs="Times New Roman"/>
          <w:sz w:val="24"/>
          <w:szCs w:val="24"/>
        </w:rPr>
        <w:t xml:space="preserve">alizirani su u iznosu od </w:t>
      </w:r>
      <w:r w:rsidR="00BC18D5" w:rsidRPr="00783749">
        <w:rPr>
          <w:rFonts w:ascii="Times New Roman" w:hAnsi="Times New Roman" w:cs="Times New Roman"/>
          <w:sz w:val="24"/>
          <w:szCs w:val="24"/>
        </w:rPr>
        <w:t>3</w:t>
      </w:r>
      <w:r w:rsidR="0059730B" w:rsidRPr="00783749">
        <w:rPr>
          <w:rFonts w:ascii="Times New Roman" w:hAnsi="Times New Roman" w:cs="Times New Roman"/>
          <w:sz w:val="24"/>
          <w:szCs w:val="24"/>
        </w:rPr>
        <w:t>03</w:t>
      </w:r>
      <w:r w:rsidR="00BC18D5" w:rsidRPr="00783749">
        <w:rPr>
          <w:rFonts w:ascii="Times New Roman" w:hAnsi="Times New Roman" w:cs="Times New Roman"/>
          <w:sz w:val="24"/>
          <w:szCs w:val="24"/>
        </w:rPr>
        <w:t>.</w:t>
      </w:r>
      <w:r w:rsidR="0059730B" w:rsidRPr="00783749">
        <w:rPr>
          <w:rFonts w:ascii="Times New Roman" w:hAnsi="Times New Roman" w:cs="Times New Roman"/>
          <w:sz w:val="24"/>
          <w:szCs w:val="24"/>
        </w:rPr>
        <w:t xml:space="preserve">214 </w:t>
      </w:r>
      <w:r w:rsidR="00BC18D5" w:rsidRPr="00783749">
        <w:rPr>
          <w:rFonts w:ascii="Times New Roman" w:hAnsi="Times New Roman" w:cs="Times New Roman"/>
          <w:sz w:val="24"/>
          <w:szCs w:val="24"/>
        </w:rPr>
        <w:t>eura</w:t>
      </w:r>
      <w:r w:rsidR="006E36FD" w:rsidRPr="00783749">
        <w:rPr>
          <w:rFonts w:ascii="Times New Roman" w:hAnsi="Times New Roman" w:cs="Times New Roman"/>
          <w:sz w:val="24"/>
          <w:szCs w:val="24"/>
        </w:rPr>
        <w:t xml:space="preserve">, a njihovu strukturu </w:t>
      </w:r>
      <w:r w:rsidR="00287B1F" w:rsidRPr="00783749">
        <w:rPr>
          <w:rFonts w:ascii="Times New Roman" w:hAnsi="Times New Roman" w:cs="Times New Roman"/>
          <w:sz w:val="24"/>
          <w:szCs w:val="24"/>
          <w:lang w:val="es-ES"/>
        </w:rPr>
        <w:t>čine naknade za koncesije na pomorskom dobru i za uporabu pomorskog dobra</w:t>
      </w:r>
      <w:r w:rsidR="00C60F67" w:rsidRPr="0078374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76B2A" w:rsidRPr="00783749">
        <w:rPr>
          <w:rFonts w:ascii="Times New Roman" w:hAnsi="Times New Roman" w:cs="Times New Roman"/>
          <w:sz w:val="24"/>
          <w:szCs w:val="24"/>
          <w:lang w:val="es-ES"/>
        </w:rPr>
        <w:t>prihodi od spomeničke rente,</w:t>
      </w:r>
      <w:r w:rsidR="00287B1F" w:rsidRPr="00783749">
        <w:rPr>
          <w:rFonts w:ascii="Times New Roman" w:hAnsi="Times New Roman" w:cs="Times New Roman"/>
          <w:sz w:val="24"/>
          <w:szCs w:val="24"/>
          <w:lang w:val="es-ES"/>
        </w:rPr>
        <w:t xml:space="preserve"> prihodi od zakupa i iznajmljivanja imovine Grada</w:t>
      </w:r>
      <w:r w:rsidR="00776B2A" w:rsidRPr="00783749">
        <w:rPr>
          <w:rFonts w:ascii="Times New Roman" w:hAnsi="Times New Roman" w:cs="Times New Roman"/>
          <w:sz w:val="24"/>
          <w:szCs w:val="24"/>
          <w:lang w:val="es-ES"/>
        </w:rPr>
        <w:t xml:space="preserve"> te ostali pr</w:t>
      </w:r>
      <w:r w:rsidR="00D73EC7" w:rsidRPr="00783749">
        <w:rPr>
          <w:rFonts w:ascii="Times New Roman" w:hAnsi="Times New Roman" w:cs="Times New Roman"/>
          <w:sz w:val="24"/>
          <w:szCs w:val="24"/>
          <w:lang w:val="es-ES"/>
        </w:rPr>
        <w:t>ihodi od nefinancij</w:t>
      </w:r>
      <w:r w:rsidR="00776B2A" w:rsidRPr="00783749">
        <w:rPr>
          <w:rFonts w:ascii="Times New Roman" w:hAnsi="Times New Roman" w:cs="Times New Roman"/>
          <w:sz w:val="24"/>
          <w:szCs w:val="24"/>
          <w:lang w:val="es-ES"/>
        </w:rPr>
        <w:t>ske imovine koje čini naknada za zadržavanje neza</w:t>
      </w:r>
      <w:r w:rsidR="00FA2CCC" w:rsidRPr="00783749">
        <w:rPr>
          <w:rFonts w:ascii="Times New Roman" w:hAnsi="Times New Roman" w:cs="Times New Roman"/>
          <w:sz w:val="24"/>
          <w:szCs w:val="24"/>
          <w:lang w:val="es-ES"/>
        </w:rPr>
        <w:t>konito izgrađenih zgrada u pros</w:t>
      </w:r>
      <w:r w:rsidR="00D73EC7" w:rsidRPr="00783749">
        <w:rPr>
          <w:rFonts w:ascii="Times New Roman" w:hAnsi="Times New Roman" w:cs="Times New Roman"/>
          <w:sz w:val="24"/>
          <w:szCs w:val="24"/>
          <w:lang w:val="es-ES"/>
        </w:rPr>
        <w:t>toru</w:t>
      </w:r>
      <w:r w:rsidR="00783749" w:rsidRPr="00783749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r w:rsidR="0059730B" w:rsidRPr="00783749">
        <w:rPr>
          <w:rFonts w:ascii="Times New Roman" w:hAnsi="Times New Roman" w:cs="Times New Roman"/>
          <w:sz w:val="24"/>
          <w:szCs w:val="24"/>
          <w:lang w:val="es-ES"/>
        </w:rPr>
        <w:t xml:space="preserve">naknada za </w:t>
      </w:r>
      <w:r w:rsidR="00783749" w:rsidRPr="00783749">
        <w:rPr>
          <w:rFonts w:ascii="Times New Roman" w:hAnsi="Times New Roman" w:cs="Times New Roman"/>
          <w:sz w:val="24"/>
          <w:szCs w:val="24"/>
          <w:lang w:val="es-ES"/>
        </w:rPr>
        <w:t>eksploataciju mineralnih sirovina.</w:t>
      </w:r>
    </w:p>
    <w:p w14:paraId="1CE0E605" w14:textId="7AE513A5" w:rsidR="00AD0276" w:rsidRDefault="00AD0276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12FAC3C" w14:textId="305BF3FC" w:rsidR="00AD0276" w:rsidRPr="00AD0276" w:rsidRDefault="00AD0276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  <w:lang w:val="es-ES"/>
        </w:rPr>
        <w:t>Grafikon 2. PRIHODI OD IMOVINE</w:t>
      </w:r>
    </w:p>
    <w:p w14:paraId="0F4445A9" w14:textId="64B085B5" w:rsidR="000F3071" w:rsidRDefault="0026273A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6306651E" wp14:editId="07620D1D">
            <wp:extent cx="5114925" cy="3424237"/>
            <wp:effectExtent l="0" t="0" r="9525" b="5080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2BD8DE31-B7DF-4C3A-B109-A4B05C79EC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7A4935" w14:textId="37576D8A" w:rsidR="00783749" w:rsidRDefault="00783749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FFF7C9D" w14:textId="7484CE42" w:rsidR="009F2546" w:rsidRPr="009F2546" w:rsidRDefault="009F2546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E05B17" w14:textId="2A3F20AC" w:rsidR="00233643" w:rsidRPr="00E67147" w:rsidRDefault="00267D17" w:rsidP="00287B1F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3B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9284C" w:rsidRPr="00E67147">
        <w:rPr>
          <w:rFonts w:ascii="Times New Roman" w:hAnsi="Times New Roman" w:cs="Times New Roman"/>
          <w:b/>
          <w:sz w:val="24"/>
          <w:szCs w:val="24"/>
        </w:rPr>
        <w:t>PRIHODI OD UPRAVNIH I ADMINISTRATIVNIH PRISTOJBI, PRISTOJBI PO POSEBN</w:t>
      </w:r>
      <w:r w:rsidR="00BC18D5" w:rsidRPr="00E67147">
        <w:rPr>
          <w:rFonts w:ascii="Times New Roman" w:hAnsi="Times New Roman" w:cs="Times New Roman"/>
          <w:b/>
          <w:sz w:val="24"/>
          <w:szCs w:val="24"/>
        </w:rPr>
        <w:t>I</w:t>
      </w:r>
      <w:r w:rsidR="0069284C" w:rsidRPr="00E67147">
        <w:rPr>
          <w:rFonts w:ascii="Times New Roman" w:hAnsi="Times New Roman" w:cs="Times New Roman"/>
          <w:b/>
          <w:sz w:val="24"/>
          <w:szCs w:val="24"/>
        </w:rPr>
        <w:t>M PROPIS</w:t>
      </w:r>
      <w:r w:rsidR="00BC18D5" w:rsidRPr="00E67147">
        <w:rPr>
          <w:rFonts w:ascii="Times New Roman" w:hAnsi="Times New Roman" w:cs="Times New Roman"/>
          <w:b/>
          <w:sz w:val="24"/>
          <w:szCs w:val="24"/>
        </w:rPr>
        <w:t>IMA</w:t>
      </w:r>
      <w:r w:rsidR="00B60A0F" w:rsidRPr="00E67147">
        <w:rPr>
          <w:rFonts w:ascii="Times New Roman" w:hAnsi="Times New Roman" w:cs="Times New Roman"/>
          <w:b/>
          <w:sz w:val="24"/>
          <w:szCs w:val="24"/>
        </w:rPr>
        <w:t xml:space="preserve"> I NAKNADE</w:t>
      </w:r>
    </w:p>
    <w:p w14:paraId="61E024D7" w14:textId="72A67958" w:rsidR="0069284C" w:rsidRPr="00B307AD" w:rsidRDefault="0068545E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FE3B4D">
        <w:rPr>
          <w:rFonts w:ascii="Times New Roman" w:hAnsi="Times New Roman" w:cs="Times New Roman"/>
          <w:sz w:val="24"/>
          <w:szCs w:val="24"/>
        </w:rPr>
        <w:t xml:space="preserve">Prihodi </w:t>
      </w:r>
      <w:r w:rsidR="001947E4" w:rsidRPr="00FE3B4D">
        <w:rPr>
          <w:rFonts w:ascii="Times New Roman" w:hAnsi="Times New Roman" w:cs="Times New Roman"/>
          <w:sz w:val="24"/>
          <w:szCs w:val="24"/>
        </w:rPr>
        <w:t xml:space="preserve">po posebnim propisima </w:t>
      </w:r>
      <w:r w:rsidR="00B60A0F" w:rsidRPr="00FE3B4D">
        <w:rPr>
          <w:rFonts w:ascii="Times New Roman" w:hAnsi="Times New Roman" w:cs="Times New Roman"/>
          <w:sz w:val="24"/>
          <w:szCs w:val="24"/>
        </w:rPr>
        <w:t xml:space="preserve">realizirani </w:t>
      </w:r>
      <w:r w:rsidR="001947E4" w:rsidRPr="00FE3B4D">
        <w:rPr>
          <w:rFonts w:ascii="Times New Roman" w:hAnsi="Times New Roman" w:cs="Times New Roman"/>
          <w:sz w:val="24"/>
          <w:szCs w:val="24"/>
        </w:rPr>
        <w:t xml:space="preserve">su </w:t>
      </w:r>
      <w:r w:rsidR="00B60A0F" w:rsidRPr="00FE3B4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96E4A">
        <w:rPr>
          <w:rFonts w:ascii="Times New Roman" w:hAnsi="Times New Roman" w:cs="Times New Roman"/>
          <w:sz w:val="24"/>
          <w:szCs w:val="24"/>
        </w:rPr>
        <w:t>4.486.747,31</w:t>
      </w:r>
      <w:r w:rsidR="00BC1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8D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60A0F" w:rsidRPr="00FE3B4D">
        <w:rPr>
          <w:rFonts w:ascii="Times New Roman" w:hAnsi="Times New Roman" w:cs="Times New Roman"/>
          <w:sz w:val="24"/>
          <w:szCs w:val="24"/>
        </w:rPr>
        <w:t xml:space="preserve">. U odnosu na isto razdoblje prethodne godine </w:t>
      </w:r>
      <w:r w:rsidR="00FE3B4D" w:rsidRPr="00FE3B4D">
        <w:rPr>
          <w:rFonts w:ascii="Times New Roman" w:hAnsi="Times New Roman" w:cs="Times New Roman"/>
          <w:sz w:val="24"/>
          <w:szCs w:val="24"/>
        </w:rPr>
        <w:t>veći</w:t>
      </w:r>
      <w:r w:rsidR="001C06A1" w:rsidRPr="00FE3B4D">
        <w:rPr>
          <w:rFonts w:ascii="Times New Roman" w:hAnsi="Times New Roman" w:cs="Times New Roman"/>
          <w:sz w:val="24"/>
          <w:szCs w:val="24"/>
        </w:rPr>
        <w:t xml:space="preserve"> su </w:t>
      </w:r>
      <w:r w:rsidR="00757933" w:rsidRPr="00FE3B4D">
        <w:rPr>
          <w:rFonts w:ascii="Times New Roman" w:hAnsi="Times New Roman" w:cs="Times New Roman"/>
          <w:sz w:val="24"/>
          <w:szCs w:val="24"/>
        </w:rPr>
        <w:t>za</w:t>
      </w:r>
      <w:r w:rsidR="0030397D" w:rsidRPr="00FE3B4D">
        <w:rPr>
          <w:rFonts w:ascii="Times New Roman" w:hAnsi="Times New Roman" w:cs="Times New Roman"/>
          <w:sz w:val="24"/>
          <w:szCs w:val="24"/>
        </w:rPr>
        <w:t xml:space="preserve"> </w:t>
      </w:r>
      <w:r w:rsidR="00196E4A">
        <w:rPr>
          <w:rFonts w:ascii="Times New Roman" w:hAnsi="Times New Roman" w:cs="Times New Roman"/>
          <w:sz w:val="24"/>
          <w:szCs w:val="24"/>
        </w:rPr>
        <w:t>15</w:t>
      </w:r>
      <w:r w:rsidR="00757933" w:rsidRPr="00FE3B4D">
        <w:rPr>
          <w:rFonts w:ascii="Times New Roman" w:hAnsi="Times New Roman" w:cs="Times New Roman"/>
          <w:sz w:val="24"/>
          <w:szCs w:val="24"/>
        </w:rPr>
        <w:t xml:space="preserve">%, a do 30.06. </w:t>
      </w:r>
      <w:r w:rsidR="00F4102C" w:rsidRPr="00FE3B4D">
        <w:rPr>
          <w:rFonts w:ascii="Times New Roman" w:hAnsi="Times New Roman" w:cs="Times New Roman"/>
          <w:sz w:val="24"/>
          <w:szCs w:val="24"/>
        </w:rPr>
        <w:t xml:space="preserve">realizirano </w:t>
      </w:r>
      <w:r w:rsidR="00757933" w:rsidRPr="00FE3B4D">
        <w:rPr>
          <w:rFonts w:ascii="Times New Roman" w:hAnsi="Times New Roman" w:cs="Times New Roman"/>
          <w:sz w:val="24"/>
          <w:szCs w:val="24"/>
        </w:rPr>
        <w:t>je</w:t>
      </w:r>
      <w:r w:rsidR="002F4344" w:rsidRPr="00FE3B4D">
        <w:rPr>
          <w:rFonts w:ascii="Times New Roman" w:hAnsi="Times New Roman" w:cs="Times New Roman"/>
          <w:sz w:val="24"/>
          <w:szCs w:val="24"/>
        </w:rPr>
        <w:t xml:space="preserve"> </w:t>
      </w:r>
      <w:r w:rsidR="00196E4A">
        <w:rPr>
          <w:rFonts w:ascii="Times New Roman" w:hAnsi="Times New Roman" w:cs="Times New Roman"/>
          <w:sz w:val="24"/>
          <w:szCs w:val="24"/>
        </w:rPr>
        <w:t>47</w:t>
      </w:r>
      <w:r w:rsidR="00045F17" w:rsidRPr="00FE3B4D">
        <w:rPr>
          <w:rFonts w:ascii="Times New Roman" w:hAnsi="Times New Roman" w:cs="Times New Roman"/>
          <w:sz w:val="24"/>
          <w:szCs w:val="24"/>
        </w:rPr>
        <w:t xml:space="preserve">% </w:t>
      </w:r>
      <w:r w:rsidRPr="00FE3B4D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0B6471" w:rsidRPr="00FE3B4D">
        <w:rPr>
          <w:rFonts w:ascii="Times New Roman" w:hAnsi="Times New Roman" w:cs="Times New Roman"/>
          <w:sz w:val="24"/>
          <w:szCs w:val="24"/>
        </w:rPr>
        <w:t>P</w:t>
      </w:r>
      <w:r w:rsidRPr="00FE3B4D">
        <w:rPr>
          <w:rFonts w:ascii="Times New Roman" w:hAnsi="Times New Roman" w:cs="Times New Roman"/>
          <w:sz w:val="24"/>
          <w:szCs w:val="24"/>
        </w:rPr>
        <w:t>lana</w:t>
      </w:r>
      <w:r w:rsidR="008D62D8" w:rsidRPr="00FE3B4D">
        <w:rPr>
          <w:rFonts w:ascii="Times New Roman" w:hAnsi="Times New Roman" w:cs="Times New Roman"/>
          <w:sz w:val="24"/>
          <w:szCs w:val="24"/>
        </w:rPr>
        <w:t>.</w:t>
      </w:r>
    </w:p>
    <w:p w14:paraId="6EF2353A" w14:textId="236D3E15" w:rsidR="005A1248" w:rsidRPr="00F23A24" w:rsidRDefault="00ED6FDE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5C4">
        <w:rPr>
          <w:rFonts w:ascii="Times New Roman" w:hAnsi="Times New Roman" w:cs="Times New Roman"/>
          <w:sz w:val="24"/>
          <w:szCs w:val="24"/>
        </w:rPr>
        <w:t>Najznačajnij</w:t>
      </w:r>
      <w:r w:rsidR="004234E8" w:rsidRPr="002365C4">
        <w:rPr>
          <w:rFonts w:ascii="Times New Roman" w:hAnsi="Times New Roman" w:cs="Times New Roman"/>
          <w:sz w:val="24"/>
          <w:szCs w:val="24"/>
        </w:rPr>
        <w:t>i</w:t>
      </w:r>
      <w:r w:rsidRPr="002365C4">
        <w:rPr>
          <w:rFonts w:ascii="Times New Roman" w:hAnsi="Times New Roman" w:cs="Times New Roman"/>
          <w:sz w:val="24"/>
          <w:szCs w:val="24"/>
        </w:rPr>
        <w:t xml:space="preserve"> </w:t>
      </w:r>
      <w:r w:rsidR="00BF5E80" w:rsidRPr="002365C4">
        <w:rPr>
          <w:rFonts w:ascii="Times New Roman" w:hAnsi="Times New Roman" w:cs="Times New Roman"/>
          <w:sz w:val="24"/>
          <w:szCs w:val="24"/>
        </w:rPr>
        <w:t xml:space="preserve">gradski prihodi </w:t>
      </w:r>
      <w:r w:rsidR="00757933" w:rsidRPr="002365C4">
        <w:rPr>
          <w:rFonts w:ascii="Times New Roman" w:hAnsi="Times New Roman" w:cs="Times New Roman"/>
          <w:sz w:val="24"/>
          <w:szCs w:val="24"/>
        </w:rPr>
        <w:t xml:space="preserve">za posebne namjene </w:t>
      </w:r>
      <w:r w:rsidR="00BF5E80" w:rsidRPr="002365C4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F4102C" w:rsidRPr="002365C4">
        <w:rPr>
          <w:rFonts w:ascii="Times New Roman" w:hAnsi="Times New Roman" w:cs="Times New Roman"/>
          <w:sz w:val="24"/>
          <w:szCs w:val="24"/>
        </w:rPr>
        <w:t>komunalni doprinos</w:t>
      </w:r>
      <w:r w:rsidR="00AC6EF9" w:rsidRPr="002365C4">
        <w:rPr>
          <w:rFonts w:ascii="Times New Roman" w:hAnsi="Times New Roman" w:cs="Times New Roman"/>
          <w:sz w:val="24"/>
          <w:szCs w:val="24"/>
        </w:rPr>
        <w:t xml:space="preserve"> </w:t>
      </w:r>
      <w:r w:rsidR="00F4102C" w:rsidRPr="002365C4">
        <w:rPr>
          <w:rFonts w:ascii="Times New Roman" w:hAnsi="Times New Roman" w:cs="Times New Roman"/>
          <w:sz w:val="24"/>
          <w:szCs w:val="24"/>
        </w:rPr>
        <w:t xml:space="preserve">i komunalnu naknadu koji su realizirani u iznosu od </w:t>
      </w:r>
      <w:r w:rsidR="00196E4A">
        <w:rPr>
          <w:rFonts w:ascii="Times New Roman" w:hAnsi="Times New Roman" w:cs="Times New Roman"/>
          <w:sz w:val="24"/>
          <w:szCs w:val="24"/>
        </w:rPr>
        <w:t xml:space="preserve">3.379.106,52 </w:t>
      </w:r>
      <w:r w:rsidR="00BC18D5">
        <w:rPr>
          <w:rFonts w:ascii="Times New Roman" w:hAnsi="Times New Roman" w:cs="Times New Roman"/>
          <w:sz w:val="24"/>
          <w:szCs w:val="24"/>
        </w:rPr>
        <w:t>eura</w:t>
      </w:r>
      <w:r w:rsidR="00F4102C" w:rsidRPr="002365C4">
        <w:rPr>
          <w:rFonts w:ascii="Times New Roman" w:hAnsi="Times New Roman" w:cs="Times New Roman"/>
          <w:sz w:val="24"/>
          <w:szCs w:val="24"/>
        </w:rPr>
        <w:t xml:space="preserve">. </w:t>
      </w:r>
      <w:r w:rsidR="001C06A1" w:rsidRPr="002365C4">
        <w:rPr>
          <w:rFonts w:ascii="Times New Roman" w:hAnsi="Times New Roman" w:cs="Times New Roman"/>
          <w:sz w:val="24"/>
          <w:szCs w:val="24"/>
        </w:rPr>
        <w:t>Realiziraju se u skladu s Planom za 20</w:t>
      </w:r>
      <w:r w:rsidR="00445202" w:rsidRPr="002365C4">
        <w:rPr>
          <w:rFonts w:ascii="Times New Roman" w:hAnsi="Times New Roman" w:cs="Times New Roman"/>
          <w:sz w:val="24"/>
          <w:szCs w:val="24"/>
        </w:rPr>
        <w:t>2</w:t>
      </w:r>
      <w:r w:rsidR="00196E4A">
        <w:rPr>
          <w:rFonts w:ascii="Times New Roman" w:hAnsi="Times New Roman" w:cs="Times New Roman"/>
          <w:sz w:val="24"/>
          <w:szCs w:val="24"/>
        </w:rPr>
        <w:t>4</w:t>
      </w:r>
      <w:r w:rsidR="001C06A1" w:rsidRPr="002365C4">
        <w:rPr>
          <w:rFonts w:ascii="Times New Roman" w:hAnsi="Times New Roman" w:cs="Times New Roman"/>
          <w:sz w:val="24"/>
          <w:szCs w:val="24"/>
        </w:rPr>
        <w:t xml:space="preserve">. godinu, te je ostvareno </w:t>
      </w:r>
      <w:r w:rsidR="00E67147">
        <w:rPr>
          <w:rFonts w:ascii="Times New Roman" w:hAnsi="Times New Roman" w:cs="Times New Roman"/>
          <w:sz w:val="24"/>
          <w:szCs w:val="24"/>
        </w:rPr>
        <w:t>5</w:t>
      </w:r>
      <w:r w:rsidR="00196E4A">
        <w:rPr>
          <w:rFonts w:ascii="Times New Roman" w:hAnsi="Times New Roman" w:cs="Times New Roman"/>
          <w:sz w:val="24"/>
          <w:szCs w:val="24"/>
        </w:rPr>
        <w:t>0</w:t>
      </w:r>
      <w:r w:rsidR="001C06A1" w:rsidRPr="002365C4">
        <w:rPr>
          <w:rFonts w:ascii="Times New Roman" w:hAnsi="Times New Roman" w:cs="Times New Roman"/>
          <w:sz w:val="24"/>
          <w:szCs w:val="24"/>
        </w:rPr>
        <w:t xml:space="preserve">% planiranih prihoda. </w:t>
      </w:r>
      <w:r w:rsidR="001C06A1" w:rsidRPr="00F23A24">
        <w:rPr>
          <w:rFonts w:ascii="Times New Roman" w:hAnsi="Times New Roman" w:cs="Times New Roman"/>
          <w:sz w:val="24"/>
          <w:szCs w:val="24"/>
        </w:rPr>
        <w:t>P</w:t>
      </w:r>
      <w:r w:rsidR="00BF5E80" w:rsidRPr="00F23A24">
        <w:rPr>
          <w:rFonts w:ascii="Times New Roman" w:hAnsi="Times New Roman" w:cs="Times New Roman"/>
          <w:sz w:val="24"/>
          <w:szCs w:val="24"/>
        </w:rPr>
        <w:t>rihod</w:t>
      </w:r>
      <w:r w:rsidR="00D62734" w:rsidRPr="00F23A24">
        <w:rPr>
          <w:rFonts w:ascii="Times New Roman" w:hAnsi="Times New Roman" w:cs="Times New Roman"/>
          <w:sz w:val="24"/>
          <w:szCs w:val="24"/>
        </w:rPr>
        <w:t xml:space="preserve"> </w:t>
      </w:r>
      <w:r w:rsidR="00045F17" w:rsidRPr="00F23A24">
        <w:rPr>
          <w:rFonts w:ascii="Times New Roman" w:hAnsi="Times New Roman" w:cs="Times New Roman"/>
          <w:sz w:val="24"/>
          <w:szCs w:val="24"/>
        </w:rPr>
        <w:t xml:space="preserve">od </w:t>
      </w:r>
      <w:r w:rsidR="005A1248" w:rsidRPr="00F23A24">
        <w:rPr>
          <w:rFonts w:ascii="Times New Roman" w:hAnsi="Times New Roman" w:cs="Times New Roman"/>
          <w:sz w:val="24"/>
          <w:szCs w:val="24"/>
        </w:rPr>
        <w:t>komunalne naknade</w:t>
      </w:r>
      <w:r w:rsidR="00F4102C" w:rsidRPr="00F23A24">
        <w:rPr>
          <w:rFonts w:ascii="Times New Roman" w:hAnsi="Times New Roman" w:cs="Times New Roman"/>
          <w:sz w:val="24"/>
          <w:szCs w:val="24"/>
        </w:rPr>
        <w:t xml:space="preserve"> ostvaren je u visini od </w:t>
      </w:r>
      <w:r w:rsidR="00196E4A">
        <w:rPr>
          <w:rFonts w:ascii="Times New Roman" w:hAnsi="Times New Roman" w:cs="Times New Roman"/>
          <w:sz w:val="24"/>
          <w:szCs w:val="24"/>
        </w:rPr>
        <w:t>1.856.492,90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="00757933" w:rsidRPr="00F23A24">
        <w:rPr>
          <w:rFonts w:ascii="Times New Roman" w:hAnsi="Times New Roman" w:cs="Times New Roman"/>
          <w:sz w:val="24"/>
          <w:szCs w:val="24"/>
        </w:rPr>
        <w:t xml:space="preserve"> dok je </w:t>
      </w:r>
      <w:r w:rsidRPr="00F23A24">
        <w:rPr>
          <w:rFonts w:ascii="Times New Roman" w:hAnsi="Times New Roman" w:cs="Times New Roman"/>
          <w:sz w:val="24"/>
          <w:szCs w:val="24"/>
        </w:rPr>
        <w:t>komunaln</w:t>
      </w:r>
      <w:r w:rsidR="00F4102C" w:rsidRPr="00F23A24">
        <w:rPr>
          <w:rFonts w:ascii="Times New Roman" w:hAnsi="Times New Roman" w:cs="Times New Roman"/>
          <w:sz w:val="24"/>
          <w:szCs w:val="24"/>
        </w:rPr>
        <w:t xml:space="preserve">i </w:t>
      </w:r>
      <w:r w:rsidRPr="00F23A24">
        <w:rPr>
          <w:rFonts w:ascii="Times New Roman" w:hAnsi="Times New Roman" w:cs="Times New Roman"/>
          <w:sz w:val="24"/>
          <w:szCs w:val="24"/>
        </w:rPr>
        <w:t>doprinos</w:t>
      </w:r>
      <w:r w:rsidR="00757933" w:rsidRPr="00F23A24">
        <w:rPr>
          <w:rFonts w:ascii="Times New Roman" w:hAnsi="Times New Roman" w:cs="Times New Roman"/>
          <w:sz w:val="24"/>
          <w:szCs w:val="24"/>
        </w:rPr>
        <w:t xml:space="preserve"> realiziran </w:t>
      </w:r>
      <w:r w:rsidR="00F4102C" w:rsidRPr="00F23A24">
        <w:rPr>
          <w:rFonts w:ascii="Times New Roman" w:hAnsi="Times New Roman" w:cs="Times New Roman"/>
          <w:sz w:val="24"/>
          <w:szCs w:val="24"/>
        </w:rPr>
        <w:t xml:space="preserve">u visini od </w:t>
      </w:r>
      <w:r w:rsidR="00196E4A">
        <w:rPr>
          <w:rFonts w:ascii="Times New Roman" w:hAnsi="Times New Roman" w:cs="Times New Roman"/>
          <w:sz w:val="24"/>
          <w:szCs w:val="24"/>
        </w:rPr>
        <w:t>1.522.613,62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="00757933" w:rsidRPr="00F23A24">
        <w:rPr>
          <w:rFonts w:ascii="Times New Roman" w:hAnsi="Times New Roman" w:cs="Times New Roman"/>
          <w:sz w:val="24"/>
          <w:szCs w:val="24"/>
        </w:rPr>
        <w:t>.</w:t>
      </w:r>
    </w:p>
    <w:p w14:paraId="21A263BB" w14:textId="09002ECF" w:rsidR="00456F79" w:rsidRDefault="008926C2" w:rsidP="009F2546">
      <w:pPr>
        <w:jc w:val="both"/>
        <w:rPr>
          <w:rFonts w:ascii="Times New Roman" w:hAnsi="Times New Roman" w:cs="Times New Roman"/>
          <w:sz w:val="24"/>
          <w:szCs w:val="24"/>
        </w:rPr>
      </w:pPr>
      <w:r w:rsidRPr="00C67F0F">
        <w:rPr>
          <w:rFonts w:ascii="Times New Roman" w:hAnsi="Times New Roman" w:cs="Times New Roman"/>
          <w:sz w:val="24"/>
          <w:szCs w:val="24"/>
        </w:rPr>
        <w:t>Prihodi po posebnim propisima ostvareni su u iznosu od</w:t>
      </w:r>
      <w:r w:rsidR="00196E4A">
        <w:rPr>
          <w:rFonts w:ascii="Times New Roman" w:hAnsi="Times New Roman" w:cs="Times New Roman"/>
          <w:sz w:val="24"/>
          <w:szCs w:val="24"/>
        </w:rPr>
        <w:t xml:space="preserve"> 891.875,22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Pr="00C67F0F">
        <w:rPr>
          <w:rFonts w:ascii="Times New Roman" w:hAnsi="Times New Roman" w:cs="Times New Roman"/>
          <w:sz w:val="24"/>
          <w:szCs w:val="24"/>
        </w:rPr>
        <w:t xml:space="preserve"> i </w:t>
      </w:r>
      <w:r w:rsidR="00757933" w:rsidRPr="00C67F0F">
        <w:rPr>
          <w:rFonts w:ascii="Times New Roman" w:hAnsi="Times New Roman" w:cs="Times New Roman"/>
          <w:sz w:val="24"/>
          <w:szCs w:val="24"/>
        </w:rPr>
        <w:t xml:space="preserve">za </w:t>
      </w:r>
      <w:r w:rsidR="00196E4A">
        <w:rPr>
          <w:rFonts w:ascii="Times New Roman" w:hAnsi="Times New Roman" w:cs="Times New Roman"/>
          <w:sz w:val="24"/>
          <w:szCs w:val="24"/>
        </w:rPr>
        <w:t>20</w:t>
      </w:r>
      <w:r w:rsidR="00757933" w:rsidRPr="00C67F0F">
        <w:rPr>
          <w:rFonts w:ascii="Times New Roman" w:hAnsi="Times New Roman" w:cs="Times New Roman"/>
          <w:sz w:val="24"/>
          <w:szCs w:val="24"/>
        </w:rPr>
        <w:t>% su</w:t>
      </w:r>
      <w:r w:rsidR="001C06A1" w:rsidRPr="00C67F0F">
        <w:rPr>
          <w:rFonts w:ascii="Times New Roman" w:hAnsi="Times New Roman" w:cs="Times New Roman"/>
          <w:sz w:val="24"/>
          <w:szCs w:val="24"/>
        </w:rPr>
        <w:t xml:space="preserve"> </w:t>
      </w:r>
      <w:r w:rsidR="00C67F0F" w:rsidRPr="00C67F0F">
        <w:rPr>
          <w:rFonts w:ascii="Times New Roman" w:hAnsi="Times New Roman" w:cs="Times New Roman"/>
          <w:sz w:val="24"/>
          <w:szCs w:val="24"/>
        </w:rPr>
        <w:t>veći</w:t>
      </w:r>
      <w:r w:rsidR="00757933" w:rsidRPr="00C67F0F">
        <w:rPr>
          <w:rFonts w:ascii="Times New Roman" w:hAnsi="Times New Roman" w:cs="Times New Roman"/>
          <w:sz w:val="24"/>
          <w:szCs w:val="24"/>
        </w:rPr>
        <w:t xml:space="preserve"> od </w:t>
      </w:r>
      <w:r w:rsidRPr="00C67F0F">
        <w:rPr>
          <w:rFonts w:ascii="Times New Roman" w:hAnsi="Times New Roman" w:cs="Times New Roman"/>
          <w:sz w:val="24"/>
          <w:szCs w:val="24"/>
        </w:rPr>
        <w:t xml:space="preserve">realizacije </w:t>
      </w:r>
      <w:r w:rsidR="00B14149" w:rsidRPr="00C67F0F">
        <w:rPr>
          <w:rFonts w:ascii="Times New Roman" w:hAnsi="Times New Roman" w:cs="Times New Roman"/>
          <w:sz w:val="24"/>
          <w:szCs w:val="24"/>
        </w:rPr>
        <w:t xml:space="preserve">u prošloj godini. </w:t>
      </w:r>
      <w:r w:rsidR="00B14149" w:rsidRPr="005011C9">
        <w:rPr>
          <w:rFonts w:ascii="Times New Roman" w:hAnsi="Times New Roman" w:cs="Times New Roman"/>
          <w:sz w:val="24"/>
          <w:szCs w:val="24"/>
        </w:rPr>
        <w:t>Najznačajniji</w:t>
      </w:r>
      <w:r w:rsidRPr="005011C9">
        <w:rPr>
          <w:rFonts w:ascii="Times New Roman" w:hAnsi="Times New Roman" w:cs="Times New Roman"/>
          <w:sz w:val="24"/>
          <w:szCs w:val="24"/>
        </w:rPr>
        <w:t xml:space="preserve"> udio u ovim prihodima imaju prihodi od participacija i sufinanciranja cijena usluga koje pružaju proračunski korisnici</w:t>
      </w:r>
      <w:r w:rsidR="006B3899">
        <w:rPr>
          <w:rFonts w:ascii="Times New Roman" w:hAnsi="Times New Roman" w:cs="Times New Roman"/>
          <w:sz w:val="24"/>
          <w:szCs w:val="24"/>
        </w:rPr>
        <w:t>.</w:t>
      </w:r>
      <w:r w:rsidR="00FB1BB8">
        <w:rPr>
          <w:rFonts w:ascii="Times New Roman" w:hAnsi="Times New Roman" w:cs="Times New Roman"/>
          <w:sz w:val="24"/>
          <w:szCs w:val="24"/>
        </w:rPr>
        <w:t xml:space="preserve"> </w:t>
      </w:r>
      <w:r w:rsidR="00E67147">
        <w:rPr>
          <w:rFonts w:ascii="Times New Roman" w:hAnsi="Times New Roman" w:cs="Times New Roman"/>
          <w:sz w:val="24"/>
          <w:szCs w:val="24"/>
        </w:rPr>
        <w:t xml:space="preserve">Prihodi od upravnih i administrativnih pristojbi realizirani su u iznosu od </w:t>
      </w:r>
      <w:r w:rsidR="00196E4A">
        <w:rPr>
          <w:rFonts w:ascii="Times New Roman" w:hAnsi="Times New Roman" w:cs="Times New Roman"/>
          <w:sz w:val="24"/>
          <w:szCs w:val="24"/>
        </w:rPr>
        <w:t>215.765,57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eura, te su za </w:t>
      </w:r>
      <w:r w:rsidR="00196E4A">
        <w:rPr>
          <w:rFonts w:ascii="Times New Roman" w:hAnsi="Times New Roman" w:cs="Times New Roman"/>
          <w:sz w:val="24"/>
          <w:szCs w:val="24"/>
        </w:rPr>
        <w:t>13</w:t>
      </w:r>
      <w:r w:rsidR="00E67147">
        <w:rPr>
          <w:rFonts w:ascii="Times New Roman" w:hAnsi="Times New Roman" w:cs="Times New Roman"/>
          <w:sz w:val="24"/>
          <w:szCs w:val="24"/>
        </w:rPr>
        <w:t>% veći od realizacije u istom razdoblju prethodne godine.</w:t>
      </w:r>
    </w:p>
    <w:p w14:paraId="6DD8B26E" w14:textId="1133C8FF" w:rsidR="008C3366" w:rsidRPr="00AF52C9" w:rsidRDefault="00FB1BB8" w:rsidP="008C3366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366" w:rsidRPr="00AF52C9">
        <w:rPr>
          <w:rFonts w:ascii="Times New Roman" w:hAnsi="Times New Roman" w:cs="Times New Roman"/>
          <w:b/>
          <w:sz w:val="24"/>
          <w:szCs w:val="24"/>
        </w:rPr>
        <w:t>PRIHODI OD PRODAJE PR</w:t>
      </w:r>
      <w:r w:rsidR="00B14149" w:rsidRPr="00AF52C9">
        <w:rPr>
          <w:rFonts w:ascii="Times New Roman" w:hAnsi="Times New Roman" w:cs="Times New Roman"/>
          <w:b/>
          <w:sz w:val="24"/>
          <w:szCs w:val="24"/>
        </w:rPr>
        <w:t>O</w:t>
      </w:r>
      <w:r w:rsidR="008C3366" w:rsidRPr="00AF52C9">
        <w:rPr>
          <w:rFonts w:ascii="Times New Roman" w:hAnsi="Times New Roman" w:cs="Times New Roman"/>
          <w:b/>
          <w:sz w:val="24"/>
          <w:szCs w:val="24"/>
        </w:rPr>
        <w:t>IZVODA I USLUGA I PRIHODI OD DONACIJA</w:t>
      </w:r>
    </w:p>
    <w:p w14:paraId="5BF8BF70" w14:textId="0A99F0DC" w:rsidR="00456F79" w:rsidRPr="00B307AD" w:rsidRDefault="004540C3" w:rsidP="00F65565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Ostvareni</w:t>
      </w:r>
      <w:r w:rsidR="008C3366" w:rsidRPr="00AF52C9">
        <w:rPr>
          <w:rFonts w:ascii="Times New Roman" w:hAnsi="Times New Roman" w:cs="Times New Roman"/>
          <w:sz w:val="24"/>
          <w:szCs w:val="24"/>
        </w:rPr>
        <w:t xml:space="preserve"> su u </w:t>
      </w:r>
      <w:r w:rsidR="00F65565" w:rsidRPr="00AF52C9">
        <w:rPr>
          <w:rFonts w:ascii="Times New Roman" w:hAnsi="Times New Roman" w:cs="Times New Roman"/>
          <w:sz w:val="24"/>
          <w:szCs w:val="24"/>
        </w:rPr>
        <w:t xml:space="preserve">iznosu od </w:t>
      </w:r>
      <w:r w:rsidR="00196E4A">
        <w:rPr>
          <w:rFonts w:ascii="Times New Roman" w:hAnsi="Times New Roman" w:cs="Times New Roman"/>
          <w:sz w:val="24"/>
          <w:szCs w:val="24"/>
        </w:rPr>
        <w:t xml:space="preserve">179.963,95 </w:t>
      </w:r>
      <w:r w:rsidR="00E67147">
        <w:rPr>
          <w:rFonts w:ascii="Times New Roman" w:hAnsi="Times New Roman" w:cs="Times New Roman"/>
          <w:sz w:val="24"/>
          <w:szCs w:val="24"/>
        </w:rPr>
        <w:t>eura</w:t>
      </w:r>
      <w:r w:rsidR="00F65565" w:rsidRPr="00AF52C9">
        <w:rPr>
          <w:rFonts w:ascii="Times New Roman" w:hAnsi="Times New Roman" w:cs="Times New Roman"/>
          <w:sz w:val="24"/>
          <w:szCs w:val="24"/>
        </w:rPr>
        <w:t>, čime je r</w:t>
      </w:r>
      <w:r w:rsidR="00C60F67" w:rsidRPr="00AF52C9">
        <w:rPr>
          <w:rFonts w:ascii="Times New Roman" w:hAnsi="Times New Roman" w:cs="Times New Roman"/>
          <w:sz w:val="24"/>
          <w:szCs w:val="24"/>
        </w:rPr>
        <w:t xml:space="preserve">ealizirano </w:t>
      </w:r>
      <w:r w:rsidR="00196E4A">
        <w:rPr>
          <w:rFonts w:ascii="Times New Roman" w:hAnsi="Times New Roman" w:cs="Times New Roman"/>
          <w:sz w:val="24"/>
          <w:szCs w:val="24"/>
        </w:rPr>
        <w:t>8</w:t>
      </w:r>
      <w:r w:rsidR="005B19A5" w:rsidRPr="00AF52C9">
        <w:rPr>
          <w:rFonts w:ascii="Times New Roman" w:hAnsi="Times New Roman" w:cs="Times New Roman"/>
          <w:sz w:val="24"/>
          <w:szCs w:val="24"/>
        </w:rPr>
        <w:t>%</w:t>
      </w:r>
      <w:r w:rsidR="00C60F67" w:rsidRPr="00AF52C9">
        <w:rPr>
          <w:rFonts w:ascii="Times New Roman" w:hAnsi="Times New Roman" w:cs="Times New Roman"/>
          <w:sz w:val="24"/>
          <w:szCs w:val="24"/>
        </w:rPr>
        <w:t xml:space="preserve"> Plana za 20</w:t>
      </w:r>
      <w:r w:rsidR="003400CC" w:rsidRPr="00AF52C9">
        <w:rPr>
          <w:rFonts w:ascii="Times New Roman" w:hAnsi="Times New Roman" w:cs="Times New Roman"/>
          <w:sz w:val="24"/>
          <w:szCs w:val="24"/>
        </w:rPr>
        <w:t>2</w:t>
      </w:r>
      <w:r w:rsidR="00196E4A">
        <w:rPr>
          <w:rFonts w:ascii="Times New Roman" w:hAnsi="Times New Roman" w:cs="Times New Roman"/>
          <w:sz w:val="24"/>
          <w:szCs w:val="24"/>
        </w:rPr>
        <w:t>4</w:t>
      </w:r>
      <w:r w:rsidR="00C60F67" w:rsidRPr="00AF52C9">
        <w:rPr>
          <w:rFonts w:ascii="Times New Roman" w:hAnsi="Times New Roman" w:cs="Times New Roman"/>
          <w:sz w:val="24"/>
          <w:szCs w:val="24"/>
        </w:rPr>
        <w:t>. godinu</w:t>
      </w:r>
      <w:r w:rsidR="00F65565" w:rsidRPr="00AF52C9">
        <w:rPr>
          <w:rFonts w:ascii="Times New Roman" w:hAnsi="Times New Roman" w:cs="Times New Roman"/>
          <w:sz w:val="24"/>
          <w:szCs w:val="24"/>
        </w:rPr>
        <w:t>.</w:t>
      </w:r>
      <w:r w:rsidR="008C3366" w:rsidRPr="00AF52C9">
        <w:rPr>
          <w:rFonts w:ascii="Times New Roman" w:hAnsi="Times New Roman" w:cs="Times New Roman"/>
          <w:sz w:val="24"/>
          <w:szCs w:val="24"/>
        </w:rPr>
        <w:t xml:space="preserve"> U odnosu na prethodno izvještajno razdoblje </w:t>
      </w:r>
      <w:r w:rsidR="00541EAC" w:rsidRPr="00AF52C9">
        <w:rPr>
          <w:rFonts w:ascii="Times New Roman" w:hAnsi="Times New Roman" w:cs="Times New Roman"/>
          <w:sz w:val="24"/>
          <w:szCs w:val="24"/>
        </w:rPr>
        <w:t xml:space="preserve">iskazani su indeksom </w:t>
      </w:r>
      <w:r w:rsidR="00196E4A">
        <w:rPr>
          <w:rFonts w:ascii="Times New Roman" w:hAnsi="Times New Roman" w:cs="Times New Roman"/>
          <w:sz w:val="24"/>
          <w:szCs w:val="24"/>
        </w:rPr>
        <w:t>203</w:t>
      </w:r>
      <w:r w:rsidR="00250408">
        <w:rPr>
          <w:rFonts w:ascii="Times New Roman" w:hAnsi="Times New Roman" w:cs="Times New Roman"/>
          <w:sz w:val="24"/>
          <w:szCs w:val="24"/>
        </w:rPr>
        <w:t>,</w:t>
      </w:r>
      <w:r w:rsidR="001F243B" w:rsidRPr="00AF52C9">
        <w:rPr>
          <w:rFonts w:ascii="Times New Roman" w:hAnsi="Times New Roman" w:cs="Times New Roman"/>
          <w:sz w:val="24"/>
          <w:szCs w:val="24"/>
        </w:rPr>
        <w:t xml:space="preserve"> a čine ih prihodi od pruženih usluga proračunskih korisnika </w:t>
      </w:r>
      <w:r w:rsidR="001C06A1" w:rsidRPr="00AF52C9">
        <w:rPr>
          <w:rFonts w:ascii="Times New Roman" w:hAnsi="Times New Roman" w:cs="Times New Roman"/>
          <w:sz w:val="24"/>
          <w:szCs w:val="24"/>
        </w:rPr>
        <w:t xml:space="preserve">kao i kapitalne </w:t>
      </w:r>
      <w:r w:rsidR="001F243B" w:rsidRPr="00AF52C9">
        <w:rPr>
          <w:rFonts w:ascii="Times New Roman" w:hAnsi="Times New Roman" w:cs="Times New Roman"/>
          <w:sz w:val="24"/>
          <w:szCs w:val="24"/>
        </w:rPr>
        <w:t xml:space="preserve">i tekuće donacije </w:t>
      </w:r>
      <w:r w:rsidR="001C06A1" w:rsidRPr="00AF52C9">
        <w:rPr>
          <w:rFonts w:ascii="Times New Roman" w:hAnsi="Times New Roman" w:cs="Times New Roman"/>
          <w:sz w:val="24"/>
          <w:szCs w:val="24"/>
        </w:rPr>
        <w:t>za Grad i proračunske korisnike.</w:t>
      </w:r>
      <w:r w:rsidR="007C71F9" w:rsidRPr="00AF52C9">
        <w:rPr>
          <w:rFonts w:ascii="Times New Roman" w:hAnsi="Times New Roman" w:cs="Times New Roman"/>
          <w:sz w:val="24"/>
          <w:szCs w:val="24"/>
        </w:rPr>
        <w:t xml:space="preserve"> </w:t>
      </w:r>
      <w:r w:rsidR="00262D07">
        <w:rPr>
          <w:rFonts w:ascii="Times New Roman" w:hAnsi="Times New Roman" w:cs="Times New Roman"/>
          <w:sz w:val="24"/>
          <w:szCs w:val="24"/>
        </w:rPr>
        <w:t xml:space="preserve">Prihodi od pruženih usluga proračunskih korisnika realizirani u iznosu od </w:t>
      </w:r>
      <w:r w:rsidR="00196E4A">
        <w:rPr>
          <w:rFonts w:ascii="Times New Roman" w:hAnsi="Times New Roman" w:cs="Times New Roman"/>
          <w:sz w:val="24"/>
          <w:szCs w:val="24"/>
        </w:rPr>
        <w:t>66.974,65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="00262D07">
        <w:rPr>
          <w:rFonts w:ascii="Times New Roman" w:hAnsi="Times New Roman" w:cs="Times New Roman"/>
          <w:sz w:val="24"/>
          <w:szCs w:val="24"/>
        </w:rPr>
        <w:t xml:space="preserve">, dok su tekuće i kapitalne donacije </w:t>
      </w:r>
      <w:r w:rsidR="00314C72" w:rsidRPr="00AF52C9">
        <w:rPr>
          <w:rFonts w:ascii="Times New Roman" w:hAnsi="Times New Roman" w:cs="Times New Roman"/>
          <w:sz w:val="24"/>
          <w:szCs w:val="24"/>
        </w:rPr>
        <w:t>proračunsk</w:t>
      </w:r>
      <w:r w:rsidR="00262D07">
        <w:rPr>
          <w:rFonts w:ascii="Times New Roman" w:hAnsi="Times New Roman" w:cs="Times New Roman"/>
          <w:sz w:val="24"/>
          <w:szCs w:val="24"/>
        </w:rPr>
        <w:t>im</w:t>
      </w:r>
      <w:r w:rsidR="00314C72" w:rsidRPr="00AF52C9">
        <w:rPr>
          <w:rFonts w:ascii="Times New Roman" w:hAnsi="Times New Roman" w:cs="Times New Roman"/>
          <w:sz w:val="24"/>
          <w:szCs w:val="24"/>
        </w:rPr>
        <w:t xml:space="preserve"> korisni</w:t>
      </w:r>
      <w:r w:rsidR="00262D07">
        <w:rPr>
          <w:rFonts w:ascii="Times New Roman" w:hAnsi="Times New Roman" w:cs="Times New Roman"/>
          <w:sz w:val="24"/>
          <w:szCs w:val="24"/>
        </w:rPr>
        <w:t>cima ostvarene u iznosu od</w:t>
      </w:r>
      <w:r w:rsidR="00196E4A">
        <w:rPr>
          <w:rFonts w:ascii="Times New Roman" w:hAnsi="Times New Roman" w:cs="Times New Roman"/>
          <w:sz w:val="24"/>
          <w:szCs w:val="24"/>
        </w:rPr>
        <w:t xml:space="preserve"> 112.989,30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="00196E4A">
        <w:rPr>
          <w:rFonts w:ascii="Times New Roman" w:hAnsi="Times New Roman" w:cs="Times New Roman"/>
          <w:sz w:val="24"/>
          <w:szCs w:val="24"/>
        </w:rPr>
        <w:t>, a najvećem se dijelom odnosi na donaciju pravne osobe DV Radost Poreč</w:t>
      </w:r>
    </w:p>
    <w:p w14:paraId="70D50AFE" w14:textId="77777777" w:rsidR="00575EA1" w:rsidRPr="004143CE" w:rsidRDefault="00267D17" w:rsidP="00357CE5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4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565" w:rsidRPr="004143CE">
        <w:rPr>
          <w:rFonts w:ascii="Times New Roman" w:hAnsi="Times New Roman" w:cs="Times New Roman"/>
          <w:b/>
          <w:sz w:val="24"/>
          <w:szCs w:val="24"/>
        </w:rPr>
        <w:t>KAZNE</w:t>
      </w:r>
      <w:r w:rsidR="00357CE5" w:rsidRPr="004143CE">
        <w:rPr>
          <w:rFonts w:ascii="Times New Roman" w:hAnsi="Times New Roman" w:cs="Times New Roman"/>
          <w:b/>
          <w:sz w:val="24"/>
          <w:szCs w:val="24"/>
        </w:rPr>
        <w:t xml:space="preserve"> I UPRAVNE MJERE</w:t>
      </w:r>
    </w:p>
    <w:p w14:paraId="66F7C0F6" w14:textId="7C07E16B" w:rsidR="00E7733C" w:rsidRPr="009F2546" w:rsidRDefault="00357CE5" w:rsidP="00521DA5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4143CE">
        <w:rPr>
          <w:rFonts w:ascii="Times New Roman" w:hAnsi="Times New Roman" w:cs="Times New Roman"/>
          <w:sz w:val="24"/>
          <w:szCs w:val="24"/>
        </w:rPr>
        <w:t xml:space="preserve">Prihodi od kazni i upravnih 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mjera </w:t>
      </w:r>
      <w:r w:rsidR="00E67147">
        <w:rPr>
          <w:rFonts w:ascii="Times New Roman" w:hAnsi="Times New Roman" w:cs="Times New Roman"/>
          <w:sz w:val="24"/>
          <w:szCs w:val="24"/>
        </w:rPr>
        <w:t xml:space="preserve">realizirani 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su u iznosu od </w:t>
      </w:r>
      <w:r w:rsidR="00F0493E">
        <w:rPr>
          <w:rFonts w:ascii="Times New Roman" w:hAnsi="Times New Roman" w:cs="Times New Roman"/>
          <w:sz w:val="24"/>
          <w:szCs w:val="24"/>
        </w:rPr>
        <w:t>91.749,26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Pr="004143CE">
        <w:rPr>
          <w:rFonts w:ascii="Times New Roman" w:hAnsi="Times New Roman" w:cs="Times New Roman"/>
          <w:sz w:val="24"/>
          <w:szCs w:val="24"/>
        </w:rPr>
        <w:t xml:space="preserve">, 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čime je ostvareno </w:t>
      </w:r>
      <w:r w:rsidR="00F0493E">
        <w:rPr>
          <w:rFonts w:ascii="Times New Roman" w:hAnsi="Times New Roman" w:cs="Times New Roman"/>
          <w:sz w:val="24"/>
          <w:szCs w:val="24"/>
        </w:rPr>
        <w:t>58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% </w:t>
      </w:r>
      <w:r w:rsidR="00456F79" w:rsidRPr="004143CE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541EAC" w:rsidRPr="004143CE">
        <w:rPr>
          <w:rFonts w:ascii="Times New Roman" w:hAnsi="Times New Roman" w:cs="Times New Roman"/>
          <w:sz w:val="24"/>
          <w:szCs w:val="24"/>
        </w:rPr>
        <w:t>Plana.</w:t>
      </w:r>
      <w:r w:rsidR="00B70D1B">
        <w:rPr>
          <w:rFonts w:ascii="Times New Roman" w:hAnsi="Times New Roman" w:cs="Times New Roman"/>
          <w:sz w:val="24"/>
          <w:szCs w:val="24"/>
        </w:rPr>
        <w:t xml:space="preserve"> </w:t>
      </w:r>
      <w:r w:rsidR="00B70D1B" w:rsidRPr="00B70D1B">
        <w:rPr>
          <w:rFonts w:ascii="Times New Roman" w:hAnsi="Times New Roman" w:cs="Times New Roman"/>
          <w:sz w:val="24"/>
          <w:szCs w:val="24"/>
        </w:rPr>
        <w:t>U odnosu na prvo polugodište prethodne godine, ovi su prihodi iskazani  indeksom</w:t>
      </w:r>
      <w:r w:rsidR="00F0493E">
        <w:rPr>
          <w:rFonts w:ascii="Times New Roman" w:hAnsi="Times New Roman" w:cs="Times New Roman"/>
          <w:sz w:val="24"/>
          <w:szCs w:val="24"/>
        </w:rPr>
        <w:t xml:space="preserve"> 94</w:t>
      </w:r>
      <w:r w:rsidR="00B70D1B" w:rsidRPr="00B70D1B">
        <w:rPr>
          <w:rFonts w:ascii="Times New Roman" w:hAnsi="Times New Roman" w:cs="Times New Roman"/>
          <w:sz w:val="24"/>
          <w:szCs w:val="24"/>
        </w:rPr>
        <w:t>.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 </w:t>
      </w:r>
      <w:r w:rsidRPr="004143CE">
        <w:rPr>
          <w:rFonts w:ascii="Times New Roman" w:hAnsi="Times New Roman" w:cs="Times New Roman"/>
          <w:sz w:val="24"/>
          <w:szCs w:val="24"/>
        </w:rPr>
        <w:t xml:space="preserve">Navedenu grupu prihoda čine prihodi od naplaćenih troškova </w:t>
      </w:r>
      <w:r w:rsidR="00AC6EF9" w:rsidRPr="004143CE">
        <w:rPr>
          <w:rFonts w:ascii="Times New Roman" w:hAnsi="Times New Roman" w:cs="Times New Roman"/>
          <w:sz w:val="24"/>
          <w:szCs w:val="24"/>
        </w:rPr>
        <w:t>prisilne naplate, mandatnih, prekršajnih i prometnih kazni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, koje su ostvarene u visini od </w:t>
      </w:r>
      <w:r w:rsidR="00F0493E">
        <w:rPr>
          <w:rFonts w:ascii="Times New Roman" w:hAnsi="Times New Roman" w:cs="Times New Roman"/>
          <w:sz w:val="24"/>
          <w:szCs w:val="24"/>
        </w:rPr>
        <w:t>91.227,24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="00541EAC" w:rsidRPr="004143CE">
        <w:rPr>
          <w:rFonts w:ascii="Times New Roman" w:hAnsi="Times New Roman" w:cs="Times New Roman"/>
          <w:sz w:val="24"/>
          <w:szCs w:val="24"/>
        </w:rPr>
        <w:t>, te ostali prihodi – povrati u proračun, koji su realizirani u visini o</w:t>
      </w:r>
      <w:r w:rsidR="0078117B" w:rsidRPr="004143CE">
        <w:rPr>
          <w:rFonts w:ascii="Times New Roman" w:hAnsi="Times New Roman" w:cs="Times New Roman"/>
          <w:sz w:val="24"/>
          <w:szCs w:val="24"/>
        </w:rPr>
        <w:t>d</w:t>
      </w:r>
      <w:r w:rsidR="00E67147">
        <w:rPr>
          <w:rFonts w:ascii="Times New Roman" w:hAnsi="Times New Roman" w:cs="Times New Roman"/>
          <w:sz w:val="24"/>
          <w:szCs w:val="24"/>
        </w:rPr>
        <w:t xml:space="preserve"> </w:t>
      </w:r>
      <w:r w:rsidR="00F0493E">
        <w:rPr>
          <w:rFonts w:ascii="Times New Roman" w:hAnsi="Times New Roman" w:cs="Times New Roman"/>
          <w:sz w:val="24"/>
          <w:szCs w:val="24"/>
        </w:rPr>
        <w:t>522</w:t>
      </w:r>
      <w:r w:rsidR="00E67147">
        <w:rPr>
          <w:rFonts w:ascii="Times New Roman" w:hAnsi="Times New Roman" w:cs="Times New Roman"/>
          <w:sz w:val="24"/>
          <w:szCs w:val="24"/>
        </w:rPr>
        <w:t xml:space="preserve"> eura</w:t>
      </w:r>
      <w:r w:rsidR="00541EAC" w:rsidRPr="004143CE">
        <w:rPr>
          <w:rFonts w:ascii="Times New Roman" w:hAnsi="Times New Roman" w:cs="Times New Roman"/>
          <w:sz w:val="24"/>
          <w:szCs w:val="24"/>
        </w:rPr>
        <w:t>.</w:t>
      </w:r>
    </w:p>
    <w:p w14:paraId="49B28DE9" w14:textId="77777777" w:rsidR="00E836BC" w:rsidRPr="00752EFC" w:rsidRDefault="00267D17" w:rsidP="00C074C8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6BC" w:rsidRPr="00752EFC">
        <w:rPr>
          <w:rFonts w:ascii="Times New Roman" w:hAnsi="Times New Roman" w:cs="Times New Roman"/>
          <w:b/>
          <w:sz w:val="24"/>
          <w:szCs w:val="24"/>
        </w:rPr>
        <w:t>PRIHODI OD PRODAJE NEFINANCIJSKE</w:t>
      </w:r>
      <w:r w:rsidR="00CC3278" w:rsidRPr="00752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6BC" w:rsidRPr="00752EFC">
        <w:rPr>
          <w:rFonts w:ascii="Times New Roman" w:hAnsi="Times New Roman" w:cs="Times New Roman"/>
          <w:b/>
          <w:sz w:val="24"/>
          <w:szCs w:val="24"/>
        </w:rPr>
        <w:t xml:space="preserve"> IMOVINE</w:t>
      </w:r>
    </w:p>
    <w:p w14:paraId="61FAF6BD" w14:textId="77777777" w:rsidR="0042148B" w:rsidRPr="00752EFC" w:rsidRDefault="00C408AA" w:rsidP="001612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EF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2F9910D1" w14:textId="01AEE7AE" w:rsidR="005513F2" w:rsidRDefault="00705A4E" w:rsidP="009F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EFC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F0493E">
        <w:rPr>
          <w:rFonts w:ascii="Times New Roman" w:hAnsi="Times New Roman" w:cs="Times New Roman"/>
          <w:sz w:val="24"/>
          <w:szCs w:val="24"/>
        </w:rPr>
        <w:t>1.488.249</w:t>
      </w:r>
      <w:r w:rsidR="005513F2">
        <w:rPr>
          <w:rFonts w:ascii="Times New Roman" w:hAnsi="Times New Roman" w:cs="Times New Roman"/>
          <w:sz w:val="24"/>
          <w:szCs w:val="24"/>
        </w:rPr>
        <w:t xml:space="preserve"> eura</w:t>
      </w:r>
      <w:r w:rsidR="004C4DE5" w:rsidRPr="00752EFC">
        <w:rPr>
          <w:rFonts w:ascii="Times New Roman" w:hAnsi="Times New Roman" w:cs="Times New Roman"/>
          <w:sz w:val="24"/>
          <w:szCs w:val="24"/>
        </w:rPr>
        <w:t>,</w:t>
      </w:r>
      <w:r w:rsidR="00541EAC" w:rsidRPr="00752EFC">
        <w:rPr>
          <w:rFonts w:ascii="Times New Roman" w:hAnsi="Times New Roman" w:cs="Times New Roman"/>
          <w:sz w:val="24"/>
          <w:szCs w:val="24"/>
        </w:rPr>
        <w:t xml:space="preserve"> a </w:t>
      </w:r>
      <w:r w:rsidR="00C074C8" w:rsidRPr="00752EFC">
        <w:rPr>
          <w:rFonts w:ascii="Times New Roman" w:hAnsi="Times New Roman" w:cs="Times New Roman"/>
          <w:sz w:val="24"/>
          <w:szCs w:val="24"/>
        </w:rPr>
        <w:t>do 30.06.20</w:t>
      </w:r>
      <w:r w:rsidR="00C72517" w:rsidRPr="00752EFC">
        <w:rPr>
          <w:rFonts w:ascii="Times New Roman" w:hAnsi="Times New Roman" w:cs="Times New Roman"/>
          <w:sz w:val="24"/>
          <w:szCs w:val="24"/>
        </w:rPr>
        <w:t>2</w:t>
      </w:r>
      <w:r w:rsidR="00F0493E">
        <w:rPr>
          <w:rFonts w:ascii="Times New Roman" w:hAnsi="Times New Roman" w:cs="Times New Roman"/>
          <w:sz w:val="24"/>
          <w:szCs w:val="24"/>
        </w:rPr>
        <w:t>4</w:t>
      </w:r>
      <w:r w:rsidR="00C074C8" w:rsidRPr="00752EFC">
        <w:rPr>
          <w:rFonts w:ascii="Times New Roman" w:hAnsi="Times New Roman" w:cs="Times New Roman"/>
          <w:sz w:val="24"/>
          <w:szCs w:val="24"/>
        </w:rPr>
        <w:t>.</w:t>
      </w:r>
      <w:r w:rsidR="007A6555" w:rsidRPr="00752EFC">
        <w:rPr>
          <w:rFonts w:ascii="Times New Roman" w:hAnsi="Times New Roman" w:cs="Times New Roman"/>
          <w:sz w:val="24"/>
          <w:szCs w:val="24"/>
        </w:rPr>
        <w:t xml:space="preserve"> </w:t>
      </w:r>
      <w:r w:rsidR="00C074C8" w:rsidRPr="00752EFC">
        <w:rPr>
          <w:rFonts w:ascii="Times New Roman" w:hAnsi="Times New Roman" w:cs="Times New Roman"/>
          <w:sz w:val="24"/>
          <w:szCs w:val="24"/>
        </w:rPr>
        <w:t>godine ostvareno</w:t>
      </w:r>
      <w:r w:rsidR="00CF6B73" w:rsidRPr="00752EFC">
        <w:rPr>
          <w:rFonts w:ascii="Times New Roman" w:hAnsi="Times New Roman" w:cs="Times New Roman"/>
          <w:sz w:val="24"/>
          <w:szCs w:val="24"/>
        </w:rPr>
        <w:t xml:space="preserve"> je</w:t>
      </w:r>
      <w:r w:rsidR="00C074C8" w:rsidRPr="00752EFC">
        <w:rPr>
          <w:rFonts w:ascii="Times New Roman" w:hAnsi="Times New Roman" w:cs="Times New Roman"/>
          <w:sz w:val="24"/>
          <w:szCs w:val="24"/>
        </w:rPr>
        <w:t xml:space="preserve"> </w:t>
      </w:r>
      <w:r w:rsidR="00F0493E">
        <w:rPr>
          <w:rFonts w:ascii="Times New Roman" w:hAnsi="Times New Roman" w:cs="Times New Roman"/>
          <w:sz w:val="24"/>
          <w:szCs w:val="24"/>
        </w:rPr>
        <w:t>1.725.324,48 eura</w:t>
      </w:r>
      <w:r w:rsidR="00C40125">
        <w:rPr>
          <w:rFonts w:ascii="Times New Roman" w:hAnsi="Times New Roman" w:cs="Times New Roman"/>
          <w:sz w:val="24"/>
          <w:szCs w:val="24"/>
        </w:rPr>
        <w:t xml:space="preserve"> čime </w:t>
      </w:r>
      <w:r w:rsidR="00F0493E">
        <w:rPr>
          <w:rFonts w:ascii="Times New Roman" w:hAnsi="Times New Roman" w:cs="Times New Roman"/>
          <w:sz w:val="24"/>
          <w:szCs w:val="24"/>
        </w:rPr>
        <w:t xml:space="preserve">je </w:t>
      </w:r>
      <w:r w:rsidR="00C074C8" w:rsidRPr="00752EFC">
        <w:rPr>
          <w:rFonts w:ascii="Times New Roman" w:hAnsi="Times New Roman" w:cs="Times New Roman"/>
          <w:sz w:val="24"/>
          <w:szCs w:val="24"/>
        </w:rPr>
        <w:t>Plan</w:t>
      </w:r>
      <w:r w:rsidR="00F0493E">
        <w:rPr>
          <w:rFonts w:ascii="Times New Roman" w:hAnsi="Times New Roman" w:cs="Times New Roman"/>
          <w:sz w:val="24"/>
          <w:szCs w:val="24"/>
        </w:rPr>
        <w:t xml:space="preserve"> </w:t>
      </w:r>
      <w:r w:rsidR="00C40125">
        <w:rPr>
          <w:rFonts w:ascii="Times New Roman" w:hAnsi="Times New Roman" w:cs="Times New Roman"/>
          <w:sz w:val="24"/>
          <w:szCs w:val="24"/>
        </w:rPr>
        <w:t>z</w:t>
      </w:r>
      <w:r w:rsidR="00F0493E">
        <w:rPr>
          <w:rFonts w:ascii="Times New Roman" w:hAnsi="Times New Roman" w:cs="Times New Roman"/>
          <w:sz w:val="24"/>
          <w:szCs w:val="24"/>
        </w:rPr>
        <w:t>a 2024. godinu premašen za 16%</w:t>
      </w:r>
      <w:r w:rsidR="00C074C8" w:rsidRPr="00752EFC">
        <w:rPr>
          <w:rFonts w:ascii="Times New Roman" w:hAnsi="Times New Roman" w:cs="Times New Roman"/>
          <w:sz w:val="24"/>
          <w:szCs w:val="24"/>
        </w:rPr>
        <w:t xml:space="preserve">, odnosno </w:t>
      </w:r>
      <w:r w:rsidR="00F0493E">
        <w:rPr>
          <w:rFonts w:ascii="Times New Roman" w:hAnsi="Times New Roman" w:cs="Times New Roman"/>
          <w:sz w:val="24"/>
          <w:szCs w:val="24"/>
        </w:rPr>
        <w:t>za 237.075,48 eura.</w:t>
      </w:r>
      <w:r w:rsidR="00C074C8" w:rsidRPr="00752EFC">
        <w:rPr>
          <w:rFonts w:ascii="Times New Roman" w:hAnsi="Times New Roman" w:cs="Times New Roman"/>
          <w:sz w:val="24"/>
          <w:szCs w:val="24"/>
        </w:rPr>
        <w:t xml:space="preserve"> </w:t>
      </w:r>
      <w:r w:rsidR="00C074C8" w:rsidRPr="004C41DD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DF2EA3">
        <w:rPr>
          <w:rFonts w:ascii="Times New Roman" w:hAnsi="Times New Roman" w:cs="Times New Roman"/>
          <w:sz w:val="24"/>
          <w:szCs w:val="24"/>
        </w:rPr>
        <w:t xml:space="preserve">prodaje </w:t>
      </w:r>
      <w:r w:rsidR="00D243DD" w:rsidRPr="004C41DD">
        <w:rPr>
          <w:rFonts w:ascii="Times New Roman" w:hAnsi="Times New Roman" w:cs="Times New Roman"/>
          <w:sz w:val="24"/>
          <w:szCs w:val="24"/>
        </w:rPr>
        <w:t xml:space="preserve">zemljišta </w:t>
      </w:r>
      <w:r w:rsidR="00C074C8" w:rsidRPr="004C41DD">
        <w:rPr>
          <w:rFonts w:ascii="Times New Roman" w:hAnsi="Times New Roman" w:cs="Times New Roman"/>
          <w:sz w:val="24"/>
          <w:szCs w:val="24"/>
        </w:rPr>
        <w:t xml:space="preserve"> ostvareni su </w:t>
      </w:r>
      <w:r w:rsidR="00364EA4" w:rsidRPr="004C41DD">
        <w:rPr>
          <w:rFonts w:ascii="Times New Roman" w:hAnsi="Times New Roman" w:cs="Times New Roman"/>
          <w:sz w:val="24"/>
          <w:szCs w:val="24"/>
        </w:rPr>
        <w:t xml:space="preserve">temeljem </w:t>
      </w:r>
      <w:r w:rsidR="00BC77CE" w:rsidRPr="004C41DD">
        <w:rPr>
          <w:rFonts w:ascii="Times New Roman" w:hAnsi="Times New Roman" w:cs="Times New Roman"/>
          <w:sz w:val="24"/>
          <w:szCs w:val="24"/>
        </w:rPr>
        <w:t>sklopljeni</w:t>
      </w:r>
      <w:r w:rsidR="00D243DD" w:rsidRPr="004C41DD">
        <w:rPr>
          <w:rFonts w:ascii="Times New Roman" w:hAnsi="Times New Roman" w:cs="Times New Roman"/>
          <w:sz w:val="24"/>
          <w:szCs w:val="24"/>
        </w:rPr>
        <w:t>h ugovora o  prodaji građevinskog zemlj</w:t>
      </w:r>
      <w:r w:rsidR="007A6555" w:rsidRPr="004C41DD">
        <w:rPr>
          <w:rFonts w:ascii="Times New Roman" w:hAnsi="Times New Roman" w:cs="Times New Roman"/>
          <w:sz w:val="24"/>
          <w:szCs w:val="24"/>
        </w:rPr>
        <w:t>i</w:t>
      </w:r>
      <w:r w:rsidR="00D243DD" w:rsidRPr="004C41DD">
        <w:rPr>
          <w:rFonts w:ascii="Times New Roman" w:hAnsi="Times New Roman" w:cs="Times New Roman"/>
          <w:sz w:val="24"/>
          <w:szCs w:val="24"/>
        </w:rPr>
        <w:t>šta</w:t>
      </w:r>
      <w:r w:rsidR="00FE37F7" w:rsidRPr="004C41D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0493E">
        <w:rPr>
          <w:rFonts w:ascii="Times New Roman" w:hAnsi="Times New Roman" w:cs="Times New Roman"/>
          <w:sz w:val="24"/>
          <w:szCs w:val="24"/>
        </w:rPr>
        <w:t xml:space="preserve">1.718.336,41 </w:t>
      </w:r>
      <w:proofErr w:type="spellStart"/>
      <w:r w:rsidR="00F0493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0493E">
        <w:rPr>
          <w:rFonts w:ascii="Times New Roman" w:hAnsi="Times New Roman" w:cs="Times New Roman"/>
          <w:sz w:val="24"/>
          <w:szCs w:val="24"/>
        </w:rPr>
        <w:t>,</w:t>
      </w:r>
      <w:r w:rsidR="005513F2">
        <w:rPr>
          <w:rFonts w:ascii="Times New Roman" w:hAnsi="Times New Roman" w:cs="Times New Roman"/>
          <w:sz w:val="24"/>
          <w:szCs w:val="24"/>
        </w:rPr>
        <w:t xml:space="preserve"> a p</w:t>
      </w:r>
      <w:r w:rsidR="00FE37F7" w:rsidRPr="00A1699D">
        <w:rPr>
          <w:rFonts w:ascii="Times New Roman" w:hAnsi="Times New Roman" w:cs="Times New Roman"/>
          <w:sz w:val="24"/>
          <w:szCs w:val="24"/>
        </w:rPr>
        <w:t>r</w:t>
      </w:r>
      <w:r w:rsidR="00364EA4" w:rsidRPr="00A1699D">
        <w:rPr>
          <w:rFonts w:ascii="Times New Roman" w:hAnsi="Times New Roman" w:cs="Times New Roman"/>
          <w:sz w:val="24"/>
          <w:szCs w:val="24"/>
        </w:rPr>
        <w:t>ihodi od prodaje stanova na kojima postoji stanarsko pravo</w:t>
      </w:r>
      <w:r w:rsidR="00262D07">
        <w:rPr>
          <w:rFonts w:ascii="Times New Roman" w:hAnsi="Times New Roman" w:cs="Times New Roman"/>
          <w:sz w:val="24"/>
          <w:szCs w:val="24"/>
        </w:rPr>
        <w:t xml:space="preserve"> i</w:t>
      </w:r>
      <w:r w:rsidR="00364EA4" w:rsidRPr="00A1699D">
        <w:rPr>
          <w:rFonts w:ascii="Times New Roman" w:hAnsi="Times New Roman" w:cs="Times New Roman"/>
          <w:sz w:val="24"/>
          <w:szCs w:val="24"/>
        </w:rPr>
        <w:t xml:space="preserve"> od prodaje stanova </w:t>
      </w:r>
      <w:r w:rsidR="00A1108A" w:rsidRPr="00A1699D">
        <w:rPr>
          <w:rFonts w:ascii="Times New Roman" w:hAnsi="Times New Roman" w:cs="Times New Roman"/>
          <w:sz w:val="24"/>
          <w:szCs w:val="24"/>
        </w:rPr>
        <w:t xml:space="preserve"> </w:t>
      </w:r>
      <w:r w:rsidR="00364EA4" w:rsidRPr="00A1699D">
        <w:rPr>
          <w:rFonts w:ascii="Times New Roman" w:hAnsi="Times New Roman" w:cs="Times New Roman"/>
          <w:sz w:val="24"/>
          <w:szCs w:val="24"/>
        </w:rPr>
        <w:t>u vlasništvu proračunskih korisnika</w:t>
      </w:r>
      <w:r w:rsidR="00262D07">
        <w:rPr>
          <w:rFonts w:ascii="Times New Roman" w:hAnsi="Times New Roman" w:cs="Times New Roman"/>
          <w:sz w:val="24"/>
          <w:szCs w:val="24"/>
        </w:rPr>
        <w:t xml:space="preserve"> realizirani su u iznosu o</w:t>
      </w:r>
      <w:r w:rsidR="00A1108A" w:rsidRPr="00A1699D">
        <w:rPr>
          <w:rFonts w:ascii="Times New Roman" w:hAnsi="Times New Roman" w:cs="Times New Roman"/>
          <w:sz w:val="24"/>
          <w:szCs w:val="24"/>
        </w:rPr>
        <w:t>d</w:t>
      </w:r>
      <w:r w:rsidR="00F0493E">
        <w:rPr>
          <w:rFonts w:ascii="Times New Roman" w:hAnsi="Times New Roman" w:cs="Times New Roman"/>
          <w:sz w:val="24"/>
          <w:szCs w:val="24"/>
        </w:rPr>
        <w:t xml:space="preserve"> 6.988,07 </w:t>
      </w:r>
      <w:r w:rsidR="005513F2">
        <w:rPr>
          <w:rFonts w:ascii="Times New Roman" w:hAnsi="Times New Roman" w:cs="Times New Roman"/>
          <w:sz w:val="24"/>
          <w:szCs w:val="24"/>
        </w:rPr>
        <w:t>eura.</w:t>
      </w:r>
    </w:p>
    <w:p w14:paraId="677E9A18" w14:textId="77777777" w:rsidR="00A32EC2" w:rsidRPr="00FB1BB8" w:rsidRDefault="00A32EC2" w:rsidP="009F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314D98" w14:textId="77777777" w:rsidR="00A44FF5" w:rsidRPr="00CE106A" w:rsidRDefault="00E87344" w:rsidP="00A44FF5">
      <w:pPr>
        <w:pStyle w:val="Odlomakpopisa"/>
        <w:numPr>
          <w:ilvl w:val="0"/>
          <w:numId w:val="1"/>
        </w:numPr>
        <w:ind w:left="1068"/>
        <w:rPr>
          <w:rFonts w:ascii="Times New Roman" w:hAnsi="Times New Roman" w:cs="Times New Roman"/>
          <w:b/>
          <w:sz w:val="28"/>
          <w:szCs w:val="28"/>
        </w:rPr>
      </w:pPr>
      <w:r w:rsidRPr="00CE106A">
        <w:rPr>
          <w:rFonts w:ascii="Times New Roman" w:hAnsi="Times New Roman" w:cs="Times New Roman"/>
          <w:b/>
          <w:sz w:val="28"/>
          <w:szCs w:val="28"/>
        </w:rPr>
        <w:t>RASHOD</w:t>
      </w:r>
      <w:r w:rsidR="00E41EA6" w:rsidRPr="00CE106A">
        <w:rPr>
          <w:rFonts w:ascii="Times New Roman" w:hAnsi="Times New Roman" w:cs="Times New Roman"/>
          <w:b/>
          <w:sz w:val="28"/>
          <w:szCs w:val="28"/>
        </w:rPr>
        <w:t>I</w:t>
      </w:r>
      <w:r w:rsidRPr="00CE10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A53855" w14:textId="79D700B9" w:rsidR="00C40125" w:rsidRPr="00EE53DC" w:rsidRDefault="00E41EA6" w:rsidP="00626CFC">
      <w:pPr>
        <w:jc w:val="both"/>
        <w:rPr>
          <w:rFonts w:ascii="Times New Roman" w:hAnsi="Times New Roman" w:cs="Times New Roman"/>
          <w:sz w:val="24"/>
          <w:szCs w:val="24"/>
        </w:rPr>
      </w:pPr>
      <w:r w:rsidRPr="00626CFC">
        <w:rPr>
          <w:rFonts w:ascii="Times New Roman" w:hAnsi="Times New Roman" w:cs="Times New Roman"/>
          <w:sz w:val="24"/>
          <w:szCs w:val="24"/>
        </w:rPr>
        <w:t xml:space="preserve">Ukupni rashodi ostvareni su u iznosu od </w:t>
      </w:r>
      <w:r w:rsidR="003E2034" w:rsidRPr="00626CFC">
        <w:rPr>
          <w:rFonts w:ascii="Times New Roman" w:hAnsi="Times New Roman" w:cs="Times New Roman"/>
          <w:sz w:val="24"/>
          <w:szCs w:val="24"/>
        </w:rPr>
        <w:t>1</w:t>
      </w:r>
      <w:r w:rsidR="00AD1F65">
        <w:rPr>
          <w:rFonts w:ascii="Times New Roman" w:hAnsi="Times New Roman" w:cs="Times New Roman"/>
          <w:sz w:val="24"/>
          <w:szCs w:val="24"/>
        </w:rPr>
        <w:t>8.034.080,72</w:t>
      </w:r>
      <w:r w:rsidR="003E2034" w:rsidRPr="00626CFC">
        <w:rPr>
          <w:rFonts w:ascii="Times New Roman" w:hAnsi="Times New Roman" w:cs="Times New Roman"/>
          <w:sz w:val="24"/>
          <w:szCs w:val="24"/>
        </w:rPr>
        <w:t xml:space="preserve"> eura</w:t>
      </w:r>
      <w:r w:rsidRPr="00626CFC">
        <w:rPr>
          <w:rFonts w:ascii="Times New Roman" w:hAnsi="Times New Roman" w:cs="Times New Roman"/>
          <w:sz w:val="24"/>
          <w:szCs w:val="24"/>
        </w:rPr>
        <w:t xml:space="preserve">, od čega se </w:t>
      </w:r>
      <w:r w:rsidR="00AD1F65">
        <w:rPr>
          <w:rFonts w:ascii="Times New Roman" w:hAnsi="Times New Roman" w:cs="Times New Roman"/>
          <w:sz w:val="24"/>
          <w:szCs w:val="24"/>
        </w:rPr>
        <w:t>13.937.886,17</w:t>
      </w:r>
      <w:r w:rsidR="003E2034" w:rsidRPr="00626CFC">
        <w:rPr>
          <w:rFonts w:ascii="Times New Roman" w:hAnsi="Times New Roman" w:cs="Times New Roman"/>
          <w:sz w:val="24"/>
          <w:szCs w:val="24"/>
        </w:rPr>
        <w:t xml:space="preserve"> eura</w:t>
      </w:r>
      <w:r w:rsidRPr="00626CFC">
        <w:rPr>
          <w:rFonts w:ascii="Times New Roman" w:hAnsi="Times New Roman" w:cs="Times New Roman"/>
          <w:sz w:val="24"/>
          <w:szCs w:val="24"/>
        </w:rPr>
        <w:t xml:space="preserve"> odnosi na r</w:t>
      </w:r>
      <w:r w:rsidR="000139E8" w:rsidRPr="00626CFC">
        <w:rPr>
          <w:rFonts w:ascii="Times New Roman" w:hAnsi="Times New Roman" w:cs="Times New Roman"/>
          <w:sz w:val="24"/>
          <w:szCs w:val="24"/>
        </w:rPr>
        <w:t>ashod</w:t>
      </w:r>
      <w:r w:rsidRPr="00626CFC">
        <w:rPr>
          <w:rFonts w:ascii="Times New Roman" w:hAnsi="Times New Roman" w:cs="Times New Roman"/>
          <w:sz w:val="24"/>
          <w:szCs w:val="24"/>
        </w:rPr>
        <w:t>e</w:t>
      </w:r>
      <w:r w:rsidR="000139E8" w:rsidRPr="00626CFC">
        <w:rPr>
          <w:rFonts w:ascii="Times New Roman" w:hAnsi="Times New Roman" w:cs="Times New Roman"/>
          <w:sz w:val="24"/>
          <w:szCs w:val="24"/>
        </w:rPr>
        <w:t xml:space="preserve"> poslov</w:t>
      </w:r>
      <w:r w:rsidR="001E5746" w:rsidRPr="00626CFC">
        <w:rPr>
          <w:rFonts w:ascii="Times New Roman" w:hAnsi="Times New Roman" w:cs="Times New Roman"/>
          <w:sz w:val="24"/>
          <w:szCs w:val="24"/>
        </w:rPr>
        <w:t>anja</w:t>
      </w:r>
      <w:r w:rsidRPr="00626CFC">
        <w:rPr>
          <w:rFonts w:ascii="Times New Roman" w:hAnsi="Times New Roman" w:cs="Times New Roman"/>
          <w:sz w:val="24"/>
          <w:szCs w:val="24"/>
        </w:rPr>
        <w:t xml:space="preserve">, a </w:t>
      </w:r>
      <w:r w:rsidR="00AD1F65">
        <w:rPr>
          <w:rFonts w:ascii="Times New Roman" w:hAnsi="Times New Roman" w:cs="Times New Roman"/>
          <w:sz w:val="24"/>
          <w:szCs w:val="24"/>
        </w:rPr>
        <w:t xml:space="preserve"> 4.096.194,55</w:t>
      </w:r>
      <w:r w:rsidR="003E2034" w:rsidRPr="00626CFC">
        <w:rPr>
          <w:rFonts w:ascii="Times New Roman" w:hAnsi="Times New Roman" w:cs="Times New Roman"/>
          <w:sz w:val="24"/>
          <w:szCs w:val="24"/>
        </w:rPr>
        <w:t xml:space="preserve"> eura</w:t>
      </w:r>
      <w:r w:rsidRPr="00626CFC">
        <w:rPr>
          <w:rFonts w:ascii="Times New Roman" w:hAnsi="Times New Roman" w:cs="Times New Roman"/>
          <w:sz w:val="24"/>
          <w:szCs w:val="24"/>
        </w:rPr>
        <w:t xml:space="preserve"> na rashode za nabavu nefinancijske imovine. </w:t>
      </w:r>
      <w:r w:rsidRPr="00626CFC">
        <w:rPr>
          <w:rFonts w:ascii="Times New Roman" w:hAnsi="Times New Roman" w:cs="Times New Roman"/>
          <w:sz w:val="24"/>
          <w:szCs w:val="24"/>
        </w:rPr>
        <w:lastRenderedPageBreak/>
        <w:t>U odnosu na Pla</w:t>
      </w:r>
      <w:r w:rsidR="00C905D2" w:rsidRPr="00626CFC">
        <w:rPr>
          <w:rFonts w:ascii="Times New Roman" w:hAnsi="Times New Roman" w:cs="Times New Roman"/>
          <w:sz w:val="24"/>
          <w:szCs w:val="24"/>
        </w:rPr>
        <w:t>n za 20</w:t>
      </w:r>
      <w:r w:rsidR="00E01F83" w:rsidRPr="00626CFC">
        <w:rPr>
          <w:rFonts w:ascii="Times New Roman" w:hAnsi="Times New Roman" w:cs="Times New Roman"/>
          <w:sz w:val="24"/>
          <w:szCs w:val="24"/>
        </w:rPr>
        <w:t>2</w:t>
      </w:r>
      <w:r w:rsidR="000F4B19">
        <w:rPr>
          <w:rFonts w:ascii="Times New Roman" w:hAnsi="Times New Roman" w:cs="Times New Roman"/>
          <w:sz w:val="24"/>
          <w:szCs w:val="24"/>
        </w:rPr>
        <w:t>4</w:t>
      </w:r>
      <w:r w:rsidR="00C905D2" w:rsidRPr="00626CFC">
        <w:rPr>
          <w:rFonts w:ascii="Times New Roman" w:hAnsi="Times New Roman" w:cs="Times New Roman"/>
          <w:sz w:val="24"/>
          <w:szCs w:val="24"/>
        </w:rPr>
        <w:t xml:space="preserve">. godinu ostvareno je </w:t>
      </w:r>
      <w:r w:rsidR="000F4B19">
        <w:rPr>
          <w:rFonts w:ascii="Times New Roman" w:hAnsi="Times New Roman" w:cs="Times New Roman"/>
          <w:sz w:val="24"/>
          <w:szCs w:val="24"/>
        </w:rPr>
        <w:t>28</w:t>
      </w:r>
      <w:r w:rsidR="003E2034" w:rsidRPr="00626CFC">
        <w:rPr>
          <w:rFonts w:ascii="Times New Roman" w:hAnsi="Times New Roman" w:cs="Times New Roman"/>
          <w:sz w:val="24"/>
          <w:szCs w:val="24"/>
        </w:rPr>
        <w:t xml:space="preserve">% </w:t>
      </w:r>
      <w:r w:rsidRPr="00626CFC">
        <w:rPr>
          <w:rFonts w:ascii="Times New Roman" w:hAnsi="Times New Roman" w:cs="Times New Roman"/>
          <w:sz w:val="24"/>
          <w:szCs w:val="24"/>
        </w:rPr>
        <w:t xml:space="preserve"> ukupnih rashoda </w:t>
      </w:r>
      <w:r w:rsidR="00ED6DF5" w:rsidRPr="00626CFC">
        <w:rPr>
          <w:rFonts w:ascii="Times New Roman" w:hAnsi="Times New Roman" w:cs="Times New Roman"/>
          <w:sz w:val="24"/>
          <w:szCs w:val="24"/>
        </w:rPr>
        <w:t xml:space="preserve">koji su 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za </w:t>
      </w:r>
      <w:r w:rsidR="003E2034" w:rsidRPr="00626CFC">
        <w:rPr>
          <w:rFonts w:ascii="Times New Roman" w:hAnsi="Times New Roman" w:cs="Times New Roman"/>
          <w:sz w:val="24"/>
          <w:szCs w:val="24"/>
        </w:rPr>
        <w:t>2</w:t>
      </w:r>
      <w:r w:rsidR="000F4B19">
        <w:rPr>
          <w:rFonts w:ascii="Times New Roman" w:hAnsi="Times New Roman" w:cs="Times New Roman"/>
          <w:sz w:val="24"/>
          <w:szCs w:val="24"/>
        </w:rPr>
        <w:t>7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% </w:t>
      </w:r>
      <w:r w:rsidR="00521DA5" w:rsidRPr="00626CFC">
        <w:rPr>
          <w:rFonts w:ascii="Times New Roman" w:hAnsi="Times New Roman" w:cs="Times New Roman"/>
          <w:sz w:val="24"/>
          <w:szCs w:val="24"/>
        </w:rPr>
        <w:t xml:space="preserve"> </w:t>
      </w:r>
      <w:r w:rsidR="009659A4" w:rsidRPr="00626CFC">
        <w:rPr>
          <w:rFonts w:ascii="Times New Roman" w:hAnsi="Times New Roman" w:cs="Times New Roman"/>
          <w:sz w:val="24"/>
          <w:szCs w:val="24"/>
        </w:rPr>
        <w:t xml:space="preserve">veći 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od </w:t>
      </w:r>
      <w:r w:rsidRPr="00626CFC">
        <w:rPr>
          <w:rFonts w:ascii="Times New Roman" w:hAnsi="Times New Roman" w:cs="Times New Roman"/>
          <w:sz w:val="24"/>
          <w:szCs w:val="24"/>
        </w:rPr>
        <w:t>ostvarenja u prvoj polovini prethodne godine.</w:t>
      </w:r>
      <w:r w:rsidR="00C40125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U tablici u nastavku </w:t>
      </w:r>
      <w:r w:rsidR="00E87344" w:rsidRPr="00626CFC">
        <w:rPr>
          <w:rFonts w:ascii="Times New Roman" w:hAnsi="Times New Roman" w:cs="Times New Roman"/>
          <w:sz w:val="24"/>
          <w:szCs w:val="24"/>
        </w:rPr>
        <w:t>prikaz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ano je </w:t>
      </w:r>
      <w:r w:rsidR="00E87344" w:rsidRPr="00626CFC">
        <w:rPr>
          <w:rFonts w:ascii="Times New Roman" w:hAnsi="Times New Roman" w:cs="Times New Roman"/>
          <w:sz w:val="24"/>
          <w:szCs w:val="24"/>
        </w:rPr>
        <w:t xml:space="preserve"> izvršenj</w:t>
      </w:r>
      <w:r w:rsidR="00856ED5" w:rsidRPr="00626CFC">
        <w:rPr>
          <w:rFonts w:ascii="Times New Roman" w:hAnsi="Times New Roman" w:cs="Times New Roman"/>
          <w:sz w:val="24"/>
          <w:szCs w:val="24"/>
        </w:rPr>
        <w:t>e</w:t>
      </w:r>
      <w:r w:rsidR="00E87344" w:rsidRPr="00626CFC">
        <w:rPr>
          <w:rFonts w:ascii="Times New Roman" w:hAnsi="Times New Roman" w:cs="Times New Roman"/>
          <w:sz w:val="24"/>
          <w:szCs w:val="24"/>
        </w:rPr>
        <w:t xml:space="preserve"> rashoda </w:t>
      </w:r>
      <w:r w:rsidR="002C2D56" w:rsidRPr="00626CFC">
        <w:rPr>
          <w:rFonts w:ascii="Times New Roman" w:hAnsi="Times New Roman" w:cs="Times New Roman"/>
          <w:sz w:val="24"/>
          <w:szCs w:val="24"/>
        </w:rPr>
        <w:t xml:space="preserve"> po vrstam</w:t>
      </w:r>
      <w:r w:rsidR="00ED5077" w:rsidRPr="00626CFC">
        <w:rPr>
          <w:rFonts w:ascii="Times New Roman" w:hAnsi="Times New Roman" w:cs="Times New Roman"/>
          <w:sz w:val="24"/>
          <w:szCs w:val="24"/>
        </w:rPr>
        <w:t xml:space="preserve">a  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te </w:t>
      </w:r>
      <w:r w:rsidR="00ED5077" w:rsidRPr="00626CFC">
        <w:rPr>
          <w:rFonts w:ascii="Times New Roman" w:hAnsi="Times New Roman" w:cs="Times New Roman"/>
          <w:sz w:val="24"/>
          <w:szCs w:val="24"/>
        </w:rPr>
        <w:t xml:space="preserve"> usporedb</w:t>
      </w:r>
      <w:r w:rsidR="00856ED5" w:rsidRPr="00626CFC">
        <w:rPr>
          <w:rFonts w:ascii="Times New Roman" w:hAnsi="Times New Roman" w:cs="Times New Roman"/>
          <w:sz w:val="24"/>
          <w:szCs w:val="24"/>
        </w:rPr>
        <w:t>a</w:t>
      </w:r>
      <w:r w:rsidR="00ED5077" w:rsidRPr="00626CFC">
        <w:rPr>
          <w:rFonts w:ascii="Times New Roman" w:hAnsi="Times New Roman" w:cs="Times New Roman"/>
          <w:sz w:val="24"/>
          <w:szCs w:val="24"/>
        </w:rPr>
        <w:t xml:space="preserve"> s realizacijom u prethodnoj godini</w:t>
      </w:r>
      <w:r w:rsidR="00AD0276">
        <w:rPr>
          <w:rFonts w:ascii="Times New Roman" w:hAnsi="Times New Roman" w:cs="Times New Roman"/>
          <w:sz w:val="24"/>
          <w:szCs w:val="24"/>
        </w:rPr>
        <w:t>.</w:t>
      </w:r>
    </w:p>
    <w:p w14:paraId="01E037B7" w14:textId="3EFF72F0" w:rsidR="00AD0276" w:rsidRPr="00AD0276" w:rsidRDefault="00AD0276" w:rsidP="00626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</w:rPr>
        <w:t>Tablica 6. REALIZACIJA UKUPNIH RASHODA</w:t>
      </w:r>
    </w:p>
    <w:tbl>
      <w:tblPr>
        <w:tblStyle w:val="Tamnatablicareetke5-isticanje1"/>
        <w:tblW w:w="8520" w:type="dxa"/>
        <w:tblInd w:w="559" w:type="dxa"/>
        <w:tblLayout w:type="fixed"/>
        <w:tblLook w:val="04A0" w:firstRow="1" w:lastRow="0" w:firstColumn="1" w:lastColumn="0" w:noHBand="0" w:noVBand="1"/>
      </w:tblPr>
      <w:tblGrid>
        <w:gridCol w:w="583"/>
        <w:gridCol w:w="3118"/>
        <w:gridCol w:w="1984"/>
        <w:gridCol w:w="1843"/>
        <w:gridCol w:w="992"/>
      </w:tblGrid>
      <w:tr w:rsidR="00B307AD" w:rsidRPr="003E2034" w14:paraId="56FEDCC9" w14:textId="77777777" w:rsidTr="00A32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4DE48DF" w14:textId="77777777" w:rsidR="001E5746" w:rsidRPr="00A32EC2" w:rsidRDefault="001E5746">
            <w:pPr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118" w:type="dxa"/>
            <w:noWrap/>
            <w:hideMark/>
          </w:tcPr>
          <w:p w14:paraId="2E9E4883" w14:textId="77777777" w:rsidR="001E5746" w:rsidRPr="003E2034" w:rsidRDefault="001E5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984" w:type="dxa"/>
            <w:noWrap/>
            <w:hideMark/>
          </w:tcPr>
          <w:p w14:paraId="09509798" w14:textId="77777777" w:rsidR="001E5746" w:rsidRPr="003E2034" w:rsidRDefault="001E5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F81BD" w:themeColor="accent1"/>
                <w:highlight w:val="yellow"/>
                <w:lang w:eastAsia="en-US"/>
              </w:rPr>
            </w:pPr>
          </w:p>
        </w:tc>
        <w:tc>
          <w:tcPr>
            <w:tcW w:w="1843" w:type="dxa"/>
            <w:noWrap/>
            <w:hideMark/>
          </w:tcPr>
          <w:p w14:paraId="73D45910" w14:textId="77777777" w:rsidR="001E5746" w:rsidRPr="003E2034" w:rsidRDefault="001E5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F81BD" w:themeColor="accent1"/>
                <w:highlight w:val="yellow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14:paraId="3469B984" w14:textId="77777777" w:rsidR="001E5746" w:rsidRPr="003E2034" w:rsidRDefault="001E5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F81BD" w:themeColor="accent1"/>
                <w:highlight w:val="yellow"/>
                <w:lang w:eastAsia="en-US"/>
              </w:rPr>
            </w:pPr>
          </w:p>
        </w:tc>
      </w:tr>
      <w:tr w:rsidR="00B307AD" w:rsidRPr="003E2034" w14:paraId="56A2C576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A68F113" w14:textId="77777777" w:rsidR="00D44379" w:rsidRPr="00A32EC2" w:rsidRDefault="00D44379" w:rsidP="003A0337">
            <w:pPr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118" w:type="dxa"/>
            <w:noWrap/>
            <w:hideMark/>
          </w:tcPr>
          <w:p w14:paraId="76F52883" w14:textId="77777777" w:rsidR="00D44379" w:rsidRPr="00E41EB2" w:rsidRDefault="00D44379" w:rsidP="003A0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VRSTA RASHODA</w:t>
            </w:r>
          </w:p>
          <w:p w14:paraId="362015CA" w14:textId="77777777" w:rsidR="00D44379" w:rsidRPr="00E41EB2" w:rsidRDefault="00D44379" w:rsidP="003A0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7F0A4F4" w14:textId="77777777" w:rsidR="00D44379" w:rsidRPr="00E41EB2" w:rsidRDefault="00D44379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OSTVARENJE</w:t>
            </w:r>
          </w:p>
          <w:p w14:paraId="35F4CB74" w14:textId="676E4DA1" w:rsidR="00D44379" w:rsidRPr="00E41EB2" w:rsidRDefault="00D44379" w:rsidP="003E20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I-VI 20</w:t>
            </w:r>
            <w:r w:rsidR="00920200"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F4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noWrap/>
            <w:hideMark/>
          </w:tcPr>
          <w:p w14:paraId="0B2DFE6E" w14:textId="77777777" w:rsidR="00D44379" w:rsidRPr="00E41EB2" w:rsidRDefault="00D44379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OSTVARENJE</w:t>
            </w:r>
          </w:p>
          <w:p w14:paraId="7E867AE7" w14:textId="0FBDE529" w:rsidR="00D44379" w:rsidRPr="00E41EB2" w:rsidRDefault="00D44379" w:rsidP="003E20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I-VI 20</w:t>
            </w:r>
            <w:r w:rsidR="00840C3D"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F4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0825F1EC" w14:textId="77777777" w:rsidR="00D44379" w:rsidRPr="00E41EB2" w:rsidRDefault="00D44379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</w:t>
            </w:r>
          </w:p>
          <w:p w14:paraId="32BEA3E8" w14:textId="77777777" w:rsidR="00D44379" w:rsidRPr="00E41EB2" w:rsidRDefault="00D44379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4B19" w:rsidRPr="00B307AD" w14:paraId="600D27FD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D7E12F7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" w:name="_Hlk173830476"/>
            <w:r w:rsidRPr="00A32E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I.</w:t>
            </w:r>
          </w:p>
        </w:tc>
        <w:tc>
          <w:tcPr>
            <w:tcW w:w="3118" w:type="dxa"/>
            <w:hideMark/>
          </w:tcPr>
          <w:p w14:paraId="28AA5211" w14:textId="77777777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TEKUĆI RASHODI</w:t>
            </w:r>
          </w:p>
        </w:tc>
        <w:tc>
          <w:tcPr>
            <w:tcW w:w="1984" w:type="dxa"/>
          </w:tcPr>
          <w:p w14:paraId="291B22D4" w14:textId="26ED21E3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11.834.139</w:t>
            </w:r>
          </w:p>
        </w:tc>
        <w:tc>
          <w:tcPr>
            <w:tcW w:w="1843" w:type="dxa"/>
          </w:tcPr>
          <w:p w14:paraId="1113F1E4" w14:textId="339D1695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13.937.886</w:t>
            </w:r>
          </w:p>
        </w:tc>
        <w:tc>
          <w:tcPr>
            <w:tcW w:w="992" w:type="dxa"/>
          </w:tcPr>
          <w:p w14:paraId="45336742" w14:textId="40C3EA18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</w:t>
            </w:r>
          </w:p>
        </w:tc>
      </w:tr>
      <w:tr w:rsidR="000F4B19" w:rsidRPr="00B307AD" w14:paraId="3B8F335D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73C40D04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4334592D" w14:textId="77777777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1984" w:type="dxa"/>
          </w:tcPr>
          <w:p w14:paraId="4A4DDD9A" w14:textId="30AA907E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5.450.544</w:t>
            </w:r>
          </w:p>
        </w:tc>
        <w:tc>
          <w:tcPr>
            <w:tcW w:w="1843" w:type="dxa"/>
          </w:tcPr>
          <w:p w14:paraId="283B3703" w14:textId="796E60C9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7.186.303</w:t>
            </w:r>
          </w:p>
        </w:tc>
        <w:tc>
          <w:tcPr>
            <w:tcW w:w="992" w:type="dxa"/>
          </w:tcPr>
          <w:p w14:paraId="02BA2E4F" w14:textId="1ACBC273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F4B19" w:rsidRPr="00B307AD" w14:paraId="41EE829A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7FB24622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753984E7" w14:textId="77777777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984" w:type="dxa"/>
          </w:tcPr>
          <w:p w14:paraId="3AAC8A2E" w14:textId="3B2474AD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3.646.002</w:t>
            </w:r>
          </w:p>
        </w:tc>
        <w:tc>
          <w:tcPr>
            <w:tcW w:w="1843" w:type="dxa"/>
          </w:tcPr>
          <w:p w14:paraId="083DCEB9" w14:textId="493F340C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3.599.492</w:t>
            </w:r>
          </w:p>
        </w:tc>
        <w:tc>
          <w:tcPr>
            <w:tcW w:w="992" w:type="dxa"/>
          </w:tcPr>
          <w:p w14:paraId="463031AD" w14:textId="54FCB85D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0F4B19" w:rsidRPr="00B307AD" w14:paraId="535FA16B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76153618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6C922FE" w14:textId="77777777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Financijski rashodi</w:t>
            </w:r>
          </w:p>
        </w:tc>
        <w:tc>
          <w:tcPr>
            <w:tcW w:w="1984" w:type="dxa"/>
          </w:tcPr>
          <w:p w14:paraId="0D502FE3" w14:textId="1F2EF040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73.075</w:t>
            </w:r>
          </w:p>
        </w:tc>
        <w:tc>
          <w:tcPr>
            <w:tcW w:w="1843" w:type="dxa"/>
          </w:tcPr>
          <w:p w14:paraId="5849C120" w14:textId="1B837A7C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78.468</w:t>
            </w:r>
          </w:p>
        </w:tc>
        <w:tc>
          <w:tcPr>
            <w:tcW w:w="992" w:type="dxa"/>
          </w:tcPr>
          <w:p w14:paraId="2082C22B" w14:textId="4CC87A6E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0F4B19" w:rsidRPr="00B307AD" w14:paraId="6B34905D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16C06FBF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6F8BBF1C" w14:textId="77777777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Subvencije</w:t>
            </w:r>
          </w:p>
        </w:tc>
        <w:tc>
          <w:tcPr>
            <w:tcW w:w="1984" w:type="dxa"/>
          </w:tcPr>
          <w:p w14:paraId="5F2F955F" w14:textId="756781CF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490.276</w:t>
            </w:r>
          </w:p>
        </w:tc>
        <w:tc>
          <w:tcPr>
            <w:tcW w:w="1843" w:type="dxa"/>
          </w:tcPr>
          <w:p w14:paraId="3F82559F" w14:textId="165D5AFB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354.293</w:t>
            </w:r>
          </w:p>
        </w:tc>
        <w:tc>
          <w:tcPr>
            <w:tcW w:w="992" w:type="dxa"/>
          </w:tcPr>
          <w:p w14:paraId="061B9520" w14:textId="75DBD97F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0F4B19" w:rsidRPr="00B307AD" w14:paraId="54882A59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5A933246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5BFC963F" w14:textId="77777777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Pomoći</w:t>
            </w:r>
          </w:p>
        </w:tc>
        <w:tc>
          <w:tcPr>
            <w:tcW w:w="1984" w:type="dxa"/>
          </w:tcPr>
          <w:p w14:paraId="041CE188" w14:textId="583453CA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348.315</w:t>
            </w:r>
          </w:p>
        </w:tc>
        <w:tc>
          <w:tcPr>
            <w:tcW w:w="1843" w:type="dxa"/>
          </w:tcPr>
          <w:p w14:paraId="6304CE6F" w14:textId="02AFD25C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518.848</w:t>
            </w:r>
          </w:p>
        </w:tc>
        <w:tc>
          <w:tcPr>
            <w:tcW w:w="992" w:type="dxa"/>
          </w:tcPr>
          <w:p w14:paraId="4A7062B9" w14:textId="65125B71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0F4B19" w:rsidRPr="00B307AD" w14:paraId="3A0A28DC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06CD7BB1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140EE33C" w14:textId="77777777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Naknade građanima i kućanstvima</w:t>
            </w:r>
          </w:p>
        </w:tc>
        <w:tc>
          <w:tcPr>
            <w:tcW w:w="1984" w:type="dxa"/>
          </w:tcPr>
          <w:p w14:paraId="1A30358A" w14:textId="329E48E2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512.335</w:t>
            </w:r>
          </w:p>
        </w:tc>
        <w:tc>
          <w:tcPr>
            <w:tcW w:w="1843" w:type="dxa"/>
          </w:tcPr>
          <w:p w14:paraId="4682A036" w14:textId="1E4F8DB1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644.825</w:t>
            </w:r>
          </w:p>
        </w:tc>
        <w:tc>
          <w:tcPr>
            <w:tcW w:w="992" w:type="dxa"/>
          </w:tcPr>
          <w:p w14:paraId="1C49107C" w14:textId="5A6F4CA8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F4B19" w:rsidRPr="00B307AD" w14:paraId="6005EF00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2CE4229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DCCE840" w14:textId="77777777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Tekuće donacije</w:t>
            </w:r>
          </w:p>
        </w:tc>
        <w:tc>
          <w:tcPr>
            <w:tcW w:w="1984" w:type="dxa"/>
          </w:tcPr>
          <w:p w14:paraId="28F6B26C" w14:textId="3CB6473B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1.005.373</w:t>
            </w:r>
          </w:p>
        </w:tc>
        <w:tc>
          <w:tcPr>
            <w:tcW w:w="1843" w:type="dxa"/>
          </w:tcPr>
          <w:p w14:paraId="1B27A48A" w14:textId="1962B7A7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1.054.155</w:t>
            </w:r>
          </w:p>
        </w:tc>
        <w:tc>
          <w:tcPr>
            <w:tcW w:w="992" w:type="dxa"/>
          </w:tcPr>
          <w:p w14:paraId="5AE00AA9" w14:textId="3FE027C1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0F4B19" w:rsidRPr="00B307AD" w14:paraId="194F46BF" w14:textId="77777777" w:rsidTr="00A32EC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5EAECBA2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2C6F09F" w14:textId="77777777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Kapitalne donacije</w:t>
            </w:r>
          </w:p>
        </w:tc>
        <w:tc>
          <w:tcPr>
            <w:tcW w:w="1984" w:type="dxa"/>
          </w:tcPr>
          <w:p w14:paraId="5509FDBE" w14:textId="5FF86469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39.687</w:t>
            </w:r>
          </w:p>
        </w:tc>
        <w:tc>
          <w:tcPr>
            <w:tcW w:w="1843" w:type="dxa"/>
          </w:tcPr>
          <w:p w14:paraId="7B585722" w14:textId="42C5F770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23.711</w:t>
            </w:r>
          </w:p>
        </w:tc>
        <w:tc>
          <w:tcPr>
            <w:tcW w:w="992" w:type="dxa"/>
          </w:tcPr>
          <w:p w14:paraId="0713AFE3" w14:textId="4796EA65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F4B19" w:rsidRPr="00B307AD" w14:paraId="20202122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1159D878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3ED22738" w14:textId="77777777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Kazne, penali, naknade štete</w:t>
            </w:r>
          </w:p>
        </w:tc>
        <w:tc>
          <w:tcPr>
            <w:tcW w:w="1984" w:type="dxa"/>
          </w:tcPr>
          <w:p w14:paraId="1F376EF4" w14:textId="0EB4CA5F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12.625</w:t>
            </w:r>
          </w:p>
        </w:tc>
        <w:tc>
          <w:tcPr>
            <w:tcW w:w="1843" w:type="dxa"/>
          </w:tcPr>
          <w:p w14:paraId="2CA857CA" w14:textId="03AB0A73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3CAF5B" w14:textId="08CFB4CF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4B19" w:rsidRPr="00B307AD" w14:paraId="7B02193A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0BA3DE7C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89AF950" w14:textId="77777777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Kapitalne pomoći</w:t>
            </w:r>
          </w:p>
        </w:tc>
        <w:tc>
          <w:tcPr>
            <w:tcW w:w="1984" w:type="dxa"/>
          </w:tcPr>
          <w:p w14:paraId="5C5B49BA" w14:textId="2FEE988C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255.903</w:t>
            </w:r>
          </w:p>
        </w:tc>
        <w:tc>
          <w:tcPr>
            <w:tcW w:w="1843" w:type="dxa"/>
          </w:tcPr>
          <w:p w14:paraId="35285257" w14:textId="54B069C5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477.786</w:t>
            </w:r>
          </w:p>
        </w:tc>
        <w:tc>
          <w:tcPr>
            <w:tcW w:w="992" w:type="dxa"/>
          </w:tcPr>
          <w:p w14:paraId="66EBB16A" w14:textId="0D4B7435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0F4B19" w:rsidRPr="00B307AD" w14:paraId="2E242C84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1A8ED197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32E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II.</w:t>
            </w:r>
          </w:p>
          <w:p w14:paraId="740B49B8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70181D10" w14:textId="77777777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1984" w:type="dxa"/>
          </w:tcPr>
          <w:p w14:paraId="681FED84" w14:textId="2A8E56B0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2.318.927</w:t>
            </w:r>
          </w:p>
        </w:tc>
        <w:tc>
          <w:tcPr>
            <w:tcW w:w="1843" w:type="dxa"/>
          </w:tcPr>
          <w:p w14:paraId="2BE7C0CA" w14:textId="7B4A8354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4.096.194</w:t>
            </w:r>
          </w:p>
        </w:tc>
        <w:tc>
          <w:tcPr>
            <w:tcW w:w="992" w:type="dxa"/>
          </w:tcPr>
          <w:p w14:paraId="74DBC512" w14:textId="5989E7B2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</w:t>
            </w:r>
          </w:p>
        </w:tc>
      </w:tr>
      <w:tr w:rsidR="000F4B19" w:rsidRPr="00B307AD" w14:paraId="7B6398D2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CCC89DD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0DD1A8D2" w14:textId="77777777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464958" w14:textId="77777777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7892A2" w14:textId="77777777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E0646" w14:textId="77777777" w:rsidR="000F4B19" w:rsidRPr="00E41EB2" w:rsidRDefault="000F4B19" w:rsidP="000F4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</w:tr>
      <w:tr w:rsidR="000F4B19" w:rsidRPr="00B307AD" w14:paraId="1C6260CC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6EAB7FC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</w:p>
          <w:p w14:paraId="65A11696" w14:textId="77777777" w:rsidR="000F4B19" w:rsidRPr="00A32EC2" w:rsidRDefault="000F4B19" w:rsidP="000F4B1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hideMark/>
          </w:tcPr>
          <w:p w14:paraId="6FEC62BD" w14:textId="77777777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UKUPNI RASHODI</w:t>
            </w:r>
          </w:p>
        </w:tc>
        <w:tc>
          <w:tcPr>
            <w:tcW w:w="1984" w:type="dxa"/>
          </w:tcPr>
          <w:p w14:paraId="5A94DC3A" w14:textId="6FD010A0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14.153.067</w:t>
            </w:r>
          </w:p>
        </w:tc>
        <w:tc>
          <w:tcPr>
            <w:tcW w:w="1843" w:type="dxa"/>
          </w:tcPr>
          <w:p w14:paraId="1BD188BF" w14:textId="43AB347E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18.034.080</w:t>
            </w:r>
          </w:p>
        </w:tc>
        <w:tc>
          <w:tcPr>
            <w:tcW w:w="992" w:type="dxa"/>
          </w:tcPr>
          <w:p w14:paraId="5077BB89" w14:textId="7E3A3BD5" w:rsidR="000F4B19" w:rsidRPr="00E41EB2" w:rsidRDefault="000F4B19" w:rsidP="000F4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bookmarkEnd w:id="1"/>
    </w:tbl>
    <w:p w14:paraId="689DA9EC" w14:textId="42E6F458" w:rsidR="00E161B4" w:rsidRPr="00B307AD" w:rsidRDefault="00E161B4" w:rsidP="000139E8">
      <w:pPr>
        <w:jc w:val="both"/>
        <w:rPr>
          <w:rFonts w:ascii="Arial" w:hAnsi="Arial" w:cs="Arial"/>
          <w:color w:val="4F81BD" w:themeColor="accent1"/>
        </w:rPr>
      </w:pPr>
    </w:p>
    <w:p w14:paraId="743C99C2" w14:textId="7173BEF3" w:rsidR="007E3E39" w:rsidRPr="001F21B4" w:rsidRDefault="000735EC" w:rsidP="000735EC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1F21B4">
        <w:rPr>
          <w:rFonts w:ascii="Times New Roman" w:hAnsi="Times New Roman" w:cs="Times New Roman"/>
          <w:b/>
          <w:sz w:val="24"/>
          <w:szCs w:val="24"/>
        </w:rPr>
        <w:t>4.1.</w:t>
      </w:r>
      <w:r w:rsidR="00A32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1B4">
        <w:rPr>
          <w:rFonts w:ascii="Times New Roman" w:hAnsi="Times New Roman" w:cs="Times New Roman"/>
          <w:b/>
          <w:sz w:val="24"/>
          <w:szCs w:val="24"/>
        </w:rPr>
        <w:t>RASHODI ZA ZAPOSLENE</w:t>
      </w:r>
    </w:p>
    <w:p w14:paraId="0BF7DE84" w14:textId="4843BC08" w:rsidR="00257E7C" w:rsidRDefault="005F1892" w:rsidP="009F2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Izmjenama i dopunama Proračuna za 2024. godinu r</w:t>
      </w:r>
      <w:r w:rsidR="001469DC" w:rsidRPr="001F21B4">
        <w:rPr>
          <w:rFonts w:ascii="Times New Roman" w:hAnsi="Times New Roman" w:cs="Times New Roman"/>
          <w:sz w:val="24"/>
          <w:szCs w:val="24"/>
        </w:rPr>
        <w:t>ashodi za zapos</w:t>
      </w:r>
      <w:r w:rsidR="009750E7" w:rsidRPr="001F21B4">
        <w:rPr>
          <w:rFonts w:ascii="Times New Roman" w:hAnsi="Times New Roman" w:cs="Times New Roman"/>
          <w:sz w:val="24"/>
          <w:szCs w:val="24"/>
        </w:rPr>
        <w:t xml:space="preserve">lene planirani su u iznosu od </w:t>
      </w:r>
      <w:r w:rsidR="00323E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5.688.602</w:t>
      </w:r>
      <w:r w:rsidR="00323EF6">
        <w:rPr>
          <w:rFonts w:ascii="Times New Roman" w:hAnsi="Times New Roman" w:cs="Times New Roman"/>
          <w:sz w:val="24"/>
          <w:szCs w:val="24"/>
        </w:rPr>
        <w:t xml:space="preserve"> eura </w:t>
      </w:r>
      <w:r w:rsidR="00494B5C" w:rsidRPr="001F21B4">
        <w:rPr>
          <w:rFonts w:ascii="Times New Roman" w:hAnsi="Times New Roman" w:cs="Times New Roman"/>
          <w:sz w:val="24"/>
          <w:szCs w:val="24"/>
        </w:rPr>
        <w:t xml:space="preserve">za </w:t>
      </w:r>
      <w:r w:rsidR="00B7009E" w:rsidRPr="001F21B4">
        <w:rPr>
          <w:rFonts w:ascii="Times New Roman" w:hAnsi="Times New Roman" w:cs="Times New Roman"/>
          <w:sz w:val="24"/>
          <w:szCs w:val="24"/>
        </w:rPr>
        <w:t>zaposlene</w:t>
      </w:r>
      <w:r w:rsidR="00494B5C" w:rsidRPr="001F21B4">
        <w:rPr>
          <w:rFonts w:ascii="Times New Roman" w:hAnsi="Times New Roman" w:cs="Times New Roman"/>
          <w:sz w:val="24"/>
          <w:szCs w:val="24"/>
        </w:rPr>
        <w:t xml:space="preserve"> u Gradskoj upravi i kod proračunskih korisni</w:t>
      </w:r>
      <w:r w:rsidR="00B7009E" w:rsidRPr="001F21B4">
        <w:rPr>
          <w:rFonts w:ascii="Times New Roman" w:hAnsi="Times New Roman" w:cs="Times New Roman"/>
          <w:sz w:val="24"/>
          <w:szCs w:val="24"/>
        </w:rPr>
        <w:t xml:space="preserve">ka, a obuhvaćaju bruto </w:t>
      </w:r>
      <w:r w:rsidR="000735EC" w:rsidRPr="001F21B4">
        <w:rPr>
          <w:rFonts w:ascii="Times New Roman" w:hAnsi="Times New Roman" w:cs="Times New Roman"/>
          <w:sz w:val="24"/>
          <w:szCs w:val="24"/>
        </w:rPr>
        <w:t xml:space="preserve"> </w:t>
      </w:r>
      <w:r w:rsidR="00B7009E" w:rsidRPr="001F21B4">
        <w:rPr>
          <w:rFonts w:ascii="Times New Roman" w:hAnsi="Times New Roman" w:cs="Times New Roman"/>
          <w:sz w:val="24"/>
          <w:szCs w:val="24"/>
        </w:rPr>
        <w:t xml:space="preserve">plaće za redovan i prekovremeni rad i doprinose na plaće. </w:t>
      </w:r>
      <w:r w:rsidR="000735EC" w:rsidRPr="001F21B4">
        <w:rPr>
          <w:rFonts w:ascii="Times New Roman" w:hAnsi="Times New Roman" w:cs="Times New Roman"/>
          <w:sz w:val="24"/>
          <w:szCs w:val="24"/>
        </w:rPr>
        <w:t>U prvom polugodištu realizirano je 4</w:t>
      </w:r>
      <w:r>
        <w:rPr>
          <w:rFonts w:ascii="Times New Roman" w:hAnsi="Times New Roman" w:cs="Times New Roman"/>
          <w:sz w:val="24"/>
          <w:szCs w:val="24"/>
        </w:rPr>
        <w:t>6</w:t>
      </w:r>
      <w:r w:rsidR="00B7009E" w:rsidRPr="001F21B4">
        <w:rPr>
          <w:rFonts w:ascii="Times New Roman" w:hAnsi="Times New Roman" w:cs="Times New Roman"/>
          <w:sz w:val="24"/>
          <w:szCs w:val="24"/>
        </w:rPr>
        <w:t>%</w:t>
      </w:r>
      <w:r w:rsidR="000735EC" w:rsidRPr="001F21B4">
        <w:rPr>
          <w:rFonts w:ascii="Times New Roman" w:hAnsi="Times New Roman" w:cs="Times New Roman"/>
          <w:sz w:val="24"/>
          <w:szCs w:val="24"/>
        </w:rPr>
        <w:t xml:space="preserve"> planiranih rashoda</w:t>
      </w:r>
      <w:r w:rsidR="00391CA4">
        <w:rPr>
          <w:rFonts w:ascii="Times New Roman" w:hAnsi="Times New Roman" w:cs="Times New Roman"/>
          <w:sz w:val="24"/>
          <w:szCs w:val="24"/>
        </w:rPr>
        <w:t>, odno</w:t>
      </w:r>
      <w:r w:rsidR="00257E7C">
        <w:rPr>
          <w:rFonts w:ascii="Times New Roman" w:hAnsi="Times New Roman" w:cs="Times New Roman"/>
          <w:sz w:val="24"/>
          <w:szCs w:val="24"/>
        </w:rPr>
        <w:t xml:space="preserve">sno </w:t>
      </w:r>
      <w:r>
        <w:rPr>
          <w:rFonts w:ascii="Times New Roman" w:hAnsi="Times New Roman" w:cs="Times New Roman"/>
          <w:sz w:val="24"/>
          <w:szCs w:val="24"/>
        </w:rPr>
        <w:t xml:space="preserve">7.186.303,08 </w:t>
      </w:r>
      <w:r w:rsidR="00257E7C">
        <w:rPr>
          <w:rFonts w:ascii="Times New Roman" w:hAnsi="Times New Roman" w:cs="Times New Roman"/>
          <w:sz w:val="24"/>
          <w:szCs w:val="24"/>
        </w:rPr>
        <w:t>eura i</w:t>
      </w:r>
      <w:r w:rsidR="000735EC" w:rsidRPr="001F21B4">
        <w:rPr>
          <w:rFonts w:ascii="Times New Roman" w:hAnsi="Times New Roman" w:cs="Times New Roman"/>
          <w:sz w:val="24"/>
          <w:szCs w:val="24"/>
        </w:rPr>
        <w:t xml:space="preserve"> u odnosu na isto razdoblje prethodne </w:t>
      </w:r>
      <w:r w:rsidR="00C60F67" w:rsidRPr="001F21B4">
        <w:rPr>
          <w:rFonts w:ascii="Times New Roman" w:hAnsi="Times New Roman" w:cs="Times New Roman"/>
          <w:sz w:val="24"/>
          <w:szCs w:val="24"/>
        </w:rPr>
        <w:t xml:space="preserve">godine </w:t>
      </w:r>
      <w:r w:rsidR="00250408">
        <w:rPr>
          <w:rFonts w:ascii="Times New Roman" w:hAnsi="Times New Roman" w:cs="Times New Roman"/>
          <w:sz w:val="24"/>
          <w:szCs w:val="24"/>
        </w:rPr>
        <w:t>veći</w:t>
      </w:r>
      <w:r w:rsidR="006928D0" w:rsidRPr="001F21B4">
        <w:rPr>
          <w:rFonts w:ascii="Times New Roman" w:hAnsi="Times New Roman" w:cs="Times New Roman"/>
          <w:sz w:val="24"/>
          <w:szCs w:val="24"/>
        </w:rPr>
        <w:t xml:space="preserve"> </w:t>
      </w:r>
      <w:r w:rsidR="00B7009E" w:rsidRPr="001F21B4">
        <w:rPr>
          <w:rFonts w:ascii="Times New Roman" w:hAnsi="Times New Roman" w:cs="Times New Roman"/>
          <w:sz w:val="24"/>
          <w:szCs w:val="24"/>
        </w:rPr>
        <w:t xml:space="preserve">su za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B7009E" w:rsidRPr="001F21B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kao rezultat novih kolektivnih ugovora i povećanja plaća u osnovnoškolskim ustanovama koje se financiraju iz državnog proračuna.</w:t>
      </w:r>
      <w:r w:rsidR="00F32D1A">
        <w:rPr>
          <w:rFonts w:ascii="Times New Roman" w:hAnsi="Times New Roman" w:cs="Times New Roman"/>
          <w:sz w:val="24"/>
          <w:szCs w:val="24"/>
        </w:rPr>
        <w:t xml:space="preserve"> R</w:t>
      </w:r>
      <w:r w:rsidR="00257E7C">
        <w:rPr>
          <w:rFonts w:ascii="Times New Roman" w:hAnsi="Times New Roman" w:cs="Times New Roman"/>
          <w:sz w:val="24"/>
          <w:szCs w:val="24"/>
        </w:rPr>
        <w:t xml:space="preserve">ashodi </w:t>
      </w:r>
      <w:r w:rsidR="00F32D1A">
        <w:rPr>
          <w:rFonts w:ascii="Times New Roman" w:hAnsi="Times New Roman" w:cs="Times New Roman"/>
          <w:sz w:val="24"/>
          <w:szCs w:val="24"/>
        </w:rPr>
        <w:t>z</w:t>
      </w:r>
      <w:r w:rsidR="00257E7C">
        <w:rPr>
          <w:rFonts w:ascii="Times New Roman" w:hAnsi="Times New Roman" w:cs="Times New Roman"/>
          <w:sz w:val="24"/>
          <w:szCs w:val="24"/>
        </w:rPr>
        <w:t>a zaposlene</w:t>
      </w:r>
      <w:r>
        <w:rPr>
          <w:rFonts w:ascii="Times New Roman" w:hAnsi="Times New Roman" w:cs="Times New Roman"/>
          <w:sz w:val="24"/>
          <w:szCs w:val="24"/>
        </w:rPr>
        <w:t xml:space="preserve">, osim iz </w:t>
      </w:r>
      <w:r w:rsidRPr="00FC0775">
        <w:rPr>
          <w:rFonts w:ascii="Times New Roman" w:hAnsi="Times New Roman" w:cs="Times New Roman"/>
          <w:sz w:val="24"/>
          <w:szCs w:val="24"/>
        </w:rPr>
        <w:t xml:space="preserve">državnog proračuna financiraju se i iz drugih </w:t>
      </w:r>
      <w:r w:rsidR="00F32D1A" w:rsidRPr="00FC0775">
        <w:rPr>
          <w:rFonts w:ascii="Times New Roman" w:hAnsi="Times New Roman" w:cs="Times New Roman"/>
          <w:sz w:val="24"/>
          <w:szCs w:val="24"/>
        </w:rPr>
        <w:t>izvora</w:t>
      </w:r>
      <w:r w:rsidR="00257E7C" w:rsidRPr="00FC0775">
        <w:rPr>
          <w:rFonts w:ascii="Times New Roman" w:hAnsi="Times New Roman" w:cs="Times New Roman"/>
          <w:sz w:val="24"/>
          <w:szCs w:val="24"/>
        </w:rPr>
        <w:t xml:space="preserve"> </w:t>
      </w:r>
      <w:r w:rsidR="00A00160" w:rsidRPr="00FC0775">
        <w:rPr>
          <w:rFonts w:ascii="Times New Roman" w:hAnsi="Times New Roman" w:cs="Times New Roman"/>
          <w:sz w:val="24"/>
          <w:szCs w:val="24"/>
        </w:rPr>
        <w:t>prikazanih u slijedećoj tabeli.</w:t>
      </w:r>
    </w:p>
    <w:p w14:paraId="69915E70" w14:textId="08E0DF3C" w:rsidR="00EE53DC" w:rsidRDefault="00EE53DC" w:rsidP="009F2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0AD88" w14:textId="076DFEBF" w:rsidR="00EE53DC" w:rsidRDefault="00EE53DC" w:rsidP="009F2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28BAD" w14:textId="25453EB8" w:rsidR="00EE53DC" w:rsidRDefault="00EE53DC" w:rsidP="009F2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3EEA2" w14:textId="1C66BC3B" w:rsidR="00EE53DC" w:rsidRDefault="00EE53DC" w:rsidP="009F2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FF52F" w14:textId="127DC612" w:rsidR="00EE53DC" w:rsidRDefault="00EE53DC" w:rsidP="009F2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46AA4" w14:textId="77777777" w:rsidR="00EE53DC" w:rsidRDefault="00EE53DC" w:rsidP="009F2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C195F" w14:textId="28ED880B" w:rsidR="00AD0276" w:rsidRPr="00AD0276" w:rsidRDefault="00AD0276" w:rsidP="009F25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Tablica 7. RASHODI ZA ZAPOSLENE PO IZVORIMA FINANCIRANJA</w:t>
      </w:r>
    </w:p>
    <w:tbl>
      <w:tblPr>
        <w:tblStyle w:val="Tablicareetke3-isticanje3"/>
        <w:tblW w:w="6880" w:type="dxa"/>
        <w:tblLook w:val="04A0" w:firstRow="1" w:lastRow="0" w:firstColumn="1" w:lastColumn="0" w:noHBand="0" w:noVBand="1"/>
      </w:tblPr>
      <w:tblGrid>
        <w:gridCol w:w="4296"/>
        <w:gridCol w:w="1793"/>
        <w:gridCol w:w="791"/>
      </w:tblGrid>
      <w:tr w:rsidR="00FC0775" w:rsidRPr="00FC0775" w14:paraId="1CA9C962" w14:textId="77777777" w:rsidTr="00C80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  <w:hideMark/>
          </w:tcPr>
          <w:p w14:paraId="577D4E1F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3" w:type="dxa"/>
            <w:hideMark/>
          </w:tcPr>
          <w:p w14:paraId="7D2AD5C6" w14:textId="77777777" w:rsidR="00FC0775" w:rsidRPr="00FC0775" w:rsidRDefault="00FC0775" w:rsidP="00FC07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REALIZIRANO</w:t>
            </w:r>
          </w:p>
        </w:tc>
        <w:tc>
          <w:tcPr>
            <w:tcW w:w="791" w:type="dxa"/>
            <w:hideMark/>
          </w:tcPr>
          <w:p w14:paraId="6F57F6F3" w14:textId="77777777" w:rsidR="00FC0775" w:rsidRPr="00FC0775" w:rsidRDefault="00FC0775" w:rsidP="00FC07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UDIO</w:t>
            </w:r>
          </w:p>
        </w:tc>
      </w:tr>
      <w:tr w:rsidR="00FC0775" w:rsidRPr="00FC0775" w14:paraId="7E50E0BE" w14:textId="77777777" w:rsidTr="00C8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389F66E1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SVEUKUPNO RASHODI / IZDACI</w:t>
            </w:r>
          </w:p>
        </w:tc>
        <w:tc>
          <w:tcPr>
            <w:tcW w:w="1303" w:type="dxa"/>
            <w:hideMark/>
          </w:tcPr>
          <w:p w14:paraId="563A9B01" w14:textId="77777777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7.186.303</w:t>
            </w:r>
          </w:p>
        </w:tc>
        <w:tc>
          <w:tcPr>
            <w:tcW w:w="791" w:type="dxa"/>
            <w:hideMark/>
          </w:tcPr>
          <w:p w14:paraId="21596A54" w14:textId="77777777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FC0775" w:rsidRPr="00FC0775" w14:paraId="2B705E0A" w14:textId="77777777" w:rsidTr="00C803E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7FCADD1E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Opći prihodi i primici</w:t>
            </w:r>
          </w:p>
        </w:tc>
        <w:tc>
          <w:tcPr>
            <w:tcW w:w="1303" w:type="dxa"/>
            <w:hideMark/>
          </w:tcPr>
          <w:p w14:paraId="2491D118" w14:textId="77777777" w:rsidR="00FC0775" w:rsidRPr="00FC0775" w:rsidRDefault="00FC077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3.303.321</w:t>
            </w:r>
          </w:p>
        </w:tc>
        <w:tc>
          <w:tcPr>
            <w:tcW w:w="791" w:type="dxa"/>
            <w:hideMark/>
          </w:tcPr>
          <w:p w14:paraId="090F4FAD" w14:textId="77777777" w:rsidR="00FC0775" w:rsidRPr="00FC0775" w:rsidRDefault="00FC077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46</w:t>
            </w:r>
          </w:p>
        </w:tc>
      </w:tr>
      <w:tr w:rsidR="00FC0775" w:rsidRPr="00FC0775" w14:paraId="5847083A" w14:textId="77777777" w:rsidTr="00C8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10D47655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Vlastiti prihodi proračunskih korisnika</w:t>
            </w:r>
          </w:p>
        </w:tc>
        <w:tc>
          <w:tcPr>
            <w:tcW w:w="1303" w:type="dxa"/>
            <w:hideMark/>
          </w:tcPr>
          <w:p w14:paraId="41CC6668" w14:textId="77777777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10.658</w:t>
            </w:r>
          </w:p>
        </w:tc>
        <w:tc>
          <w:tcPr>
            <w:tcW w:w="791" w:type="dxa"/>
            <w:hideMark/>
          </w:tcPr>
          <w:p w14:paraId="59818137" w14:textId="77777777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0,2</w:t>
            </w:r>
          </w:p>
        </w:tc>
      </w:tr>
      <w:tr w:rsidR="00FC0775" w:rsidRPr="00FC0775" w14:paraId="26BC90B7" w14:textId="77777777" w:rsidTr="00C803E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38136C77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Prihodi za posebne namjene proračunskih korisnika</w:t>
            </w:r>
          </w:p>
        </w:tc>
        <w:tc>
          <w:tcPr>
            <w:tcW w:w="1303" w:type="dxa"/>
            <w:hideMark/>
          </w:tcPr>
          <w:p w14:paraId="5C34F170" w14:textId="77777777" w:rsidR="00FC0775" w:rsidRPr="00FC0775" w:rsidRDefault="00FC077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97.973</w:t>
            </w:r>
          </w:p>
        </w:tc>
        <w:tc>
          <w:tcPr>
            <w:tcW w:w="791" w:type="dxa"/>
            <w:hideMark/>
          </w:tcPr>
          <w:p w14:paraId="761F3837" w14:textId="77777777" w:rsidR="00FC0775" w:rsidRPr="00FC0775" w:rsidRDefault="00FC077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FC0775" w:rsidRPr="00FC0775" w14:paraId="08D30A8B" w14:textId="77777777" w:rsidTr="00C8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2B088457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Pomoći za minimalni standard decentraliziranih funkcija</w:t>
            </w:r>
          </w:p>
        </w:tc>
        <w:tc>
          <w:tcPr>
            <w:tcW w:w="1303" w:type="dxa"/>
            <w:hideMark/>
          </w:tcPr>
          <w:p w14:paraId="00C9B881" w14:textId="77777777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446.826</w:t>
            </w:r>
          </w:p>
        </w:tc>
        <w:tc>
          <w:tcPr>
            <w:tcW w:w="791" w:type="dxa"/>
            <w:hideMark/>
          </w:tcPr>
          <w:p w14:paraId="55B7D77F" w14:textId="77777777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FC0775" w:rsidRPr="00FC0775" w14:paraId="6CF1A19C" w14:textId="77777777" w:rsidTr="00C803E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2348288D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Pomoći iz državnog proračuna gradu</w:t>
            </w:r>
          </w:p>
        </w:tc>
        <w:tc>
          <w:tcPr>
            <w:tcW w:w="1303" w:type="dxa"/>
            <w:hideMark/>
          </w:tcPr>
          <w:p w14:paraId="22486997" w14:textId="77777777" w:rsidR="00FC0775" w:rsidRPr="00FC0775" w:rsidRDefault="00FC077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81.188</w:t>
            </w:r>
          </w:p>
        </w:tc>
        <w:tc>
          <w:tcPr>
            <w:tcW w:w="791" w:type="dxa"/>
            <w:hideMark/>
          </w:tcPr>
          <w:p w14:paraId="4F077A74" w14:textId="77777777" w:rsidR="00FC0775" w:rsidRPr="00FC0775" w:rsidRDefault="00FC077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1,2</w:t>
            </w:r>
          </w:p>
        </w:tc>
      </w:tr>
      <w:tr w:rsidR="00FC0775" w:rsidRPr="00FC0775" w14:paraId="4F25A04B" w14:textId="77777777" w:rsidTr="00C8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0CD1C5FA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Pomoći iz državnog proračuna za korisnike</w:t>
            </w:r>
          </w:p>
        </w:tc>
        <w:tc>
          <w:tcPr>
            <w:tcW w:w="1303" w:type="dxa"/>
            <w:hideMark/>
          </w:tcPr>
          <w:p w14:paraId="66A4B54D" w14:textId="77777777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2.717.870</w:t>
            </w:r>
          </w:p>
        </w:tc>
        <w:tc>
          <w:tcPr>
            <w:tcW w:w="791" w:type="dxa"/>
            <w:hideMark/>
          </w:tcPr>
          <w:p w14:paraId="57CC2EA0" w14:textId="77777777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38</w:t>
            </w:r>
          </w:p>
        </w:tc>
      </w:tr>
      <w:tr w:rsidR="00FC0775" w:rsidRPr="00FC0775" w14:paraId="7219E62E" w14:textId="77777777" w:rsidTr="00C803E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718333DC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Pomoći iz općinskog proračuna za korisnike</w:t>
            </w:r>
          </w:p>
        </w:tc>
        <w:tc>
          <w:tcPr>
            <w:tcW w:w="1303" w:type="dxa"/>
            <w:hideMark/>
          </w:tcPr>
          <w:p w14:paraId="51697E39" w14:textId="77777777" w:rsidR="00FC0775" w:rsidRPr="00FC0775" w:rsidRDefault="00FC077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391.091</w:t>
            </w:r>
          </w:p>
        </w:tc>
        <w:tc>
          <w:tcPr>
            <w:tcW w:w="791" w:type="dxa"/>
            <w:hideMark/>
          </w:tcPr>
          <w:p w14:paraId="571C41EC" w14:textId="77777777" w:rsidR="00FC0775" w:rsidRPr="00FC0775" w:rsidRDefault="00FC077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FC0775" w:rsidRPr="00FC0775" w14:paraId="53BE1D50" w14:textId="77777777" w:rsidTr="00C8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66A05EAE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Pomoći od institucija i tijela EU gradu</w:t>
            </w:r>
          </w:p>
        </w:tc>
        <w:tc>
          <w:tcPr>
            <w:tcW w:w="1303" w:type="dxa"/>
            <w:hideMark/>
          </w:tcPr>
          <w:p w14:paraId="315D2FAC" w14:textId="77777777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10.390</w:t>
            </w:r>
          </w:p>
        </w:tc>
        <w:tc>
          <w:tcPr>
            <w:tcW w:w="791" w:type="dxa"/>
            <w:hideMark/>
          </w:tcPr>
          <w:p w14:paraId="5EFAB9FE" w14:textId="77777777" w:rsidR="00FC0775" w:rsidRPr="00FC0775" w:rsidRDefault="00FC0775" w:rsidP="00FC07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0,2</w:t>
            </w:r>
          </w:p>
        </w:tc>
      </w:tr>
      <w:tr w:rsidR="00FC0775" w:rsidRPr="00FC0775" w14:paraId="081C2F85" w14:textId="77777777" w:rsidTr="00C803E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14:paraId="3F777050" w14:textId="77777777" w:rsidR="00FC0775" w:rsidRPr="00FC0775" w:rsidRDefault="00FC0775" w:rsidP="00FC07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Pomoći temeljem prijenosa EU sredstava za PK</w:t>
            </w:r>
          </w:p>
        </w:tc>
        <w:tc>
          <w:tcPr>
            <w:tcW w:w="1303" w:type="dxa"/>
            <w:hideMark/>
          </w:tcPr>
          <w:p w14:paraId="641C7644" w14:textId="77777777" w:rsidR="00FC0775" w:rsidRPr="00FC0775" w:rsidRDefault="00FC077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C0775">
              <w:rPr>
                <w:rFonts w:ascii="Times New Roman" w:eastAsia="Times New Roman" w:hAnsi="Times New Roman" w:cs="Times New Roman"/>
              </w:rPr>
              <w:t>126.986</w:t>
            </w:r>
          </w:p>
        </w:tc>
        <w:tc>
          <w:tcPr>
            <w:tcW w:w="791" w:type="dxa"/>
            <w:hideMark/>
          </w:tcPr>
          <w:p w14:paraId="32F1FA4D" w14:textId="77777777" w:rsidR="00FC0775" w:rsidRPr="00FC0775" w:rsidRDefault="00FC0775" w:rsidP="00FC07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77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</w:tbl>
    <w:p w14:paraId="5B6891AE" w14:textId="0A644ADA" w:rsidR="00E41EB2" w:rsidRPr="001371F1" w:rsidRDefault="00E41EB2" w:rsidP="009F2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09556" w14:textId="3BE04092" w:rsidR="007E3E39" w:rsidRPr="00D114FA" w:rsidRDefault="000735EC" w:rsidP="000735EC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D114FA">
        <w:rPr>
          <w:rFonts w:ascii="Times New Roman" w:hAnsi="Times New Roman" w:cs="Times New Roman"/>
          <w:b/>
          <w:sz w:val="24"/>
          <w:szCs w:val="24"/>
        </w:rPr>
        <w:t>4.2.</w:t>
      </w:r>
      <w:r w:rsidR="00A32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FA">
        <w:rPr>
          <w:rFonts w:ascii="Times New Roman" w:hAnsi="Times New Roman" w:cs="Times New Roman"/>
          <w:b/>
          <w:sz w:val="24"/>
          <w:szCs w:val="24"/>
        </w:rPr>
        <w:t>MATERIJALNI RASHODI</w:t>
      </w:r>
    </w:p>
    <w:p w14:paraId="59BD77F1" w14:textId="2760F3F9" w:rsidR="00E22FF4" w:rsidRPr="009F2546" w:rsidRDefault="00E82192" w:rsidP="00FB0DA1">
      <w:pPr>
        <w:jc w:val="both"/>
        <w:rPr>
          <w:rFonts w:ascii="Times New Roman" w:hAnsi="Times New Roman" w:cs="Times New Roman"/>
          <w:sz w:val="24"/>
        </w:rPr>
      </w:pPr>
      <w:r w:rsidRPr="00D114FA">
        <w:rPr>
          <w:rFonts w:ascii="Times New Roman" w:hAnsi="Times New Roman" w:cs="Times New Roman"/>
          <w:sz w:val="24"/>
          <w:szCs w:val="24"/>
        </w:rPr>
        <w:t>Materijalni rashodi planira</w:t>
      </w:r>
      <w:r w:rsidR="005A7B73" w:rsidRPr="00D114FA">
        <w:rPr>
          <w:rFonts w:ascii="Times New Roman" w:hAnsi="Times New Roman" w:cs="Times New Roman"/>
          <w:sz w:val="24"/>
          <w:szCs w:val="24"/>
        </w:rPr>
        <w:t>ni su u iznosu od</w:t>
      </w:r>
      <w:r w:rsidR="00257741" w:rsidRPr="00D114FA">
        <w:rPr>
          <w:rFonts w:ascii="Times New Roman" w:hAnsi="Times New Roman" w:cs="Times New Roman"/>
          <w:sz w:val="24"/>
          <w:szCs w:val="24"/>
        </w:rPr>
        <w:t xml:space="preserve"> </w:t>
      </w:r>
      <w:r w:rsidR="00F22247" w:rsidRPr="00D114FA">
        <w:rPr>
          <w:rFonts w:ascii="Times New Roman" w:hAnsi="Times New Roman" w:cs="Times New Roman"/>
          <w:sz w:val="24"/>
          <w:szCs w:val="24"/>
        </w:rPr>
        <w:t>1</w:t>
      </w:r>
      <w:r w:rsidR="00C803ED">
        <w:rPr>
          <w:rFonts w:ascii="Times New Roman" w:hAnsi="Times New Roman" w:cs="Times New Roman"/>
          <w:sz w:val="24"/>
          <w:szCs w:val="24"/>
        </w:rPr>
        <w:t>2.849.689</w:t>
      </w:r>
      <w:r w:rsidR="00F22247" w:rsidRPr="00D114FA">
        <w:rPr>
          <w:rFonts w:ascii="Times New Roman" w:hAnsi="Times New Roman" w:cs="Times New Roman"/>
          <w:sz w:val="24"/>
          <w:szCs w:val="24"/>
        </w:rPr>
        <w:t xml:space="preserve"> eura a do 30.06. tekuće godine realizirani su u visini od </w:t>
      </w:r>
      <w:r w:rsidR="00C803ED">
        <w:rPr>
          <w:rFonts w:ascii="Times New Roman" w:hAnsi="Times New Roman" w:cs="Times New Roman"/>
          <w:sz w:val="24"/>
          <w:szCs w:val="24"/>
        </w:rPr>
        <w:t>3.599.492,22</w:t>
      </w:r>
      <w:r w:rsidR="00F22247" w:rsidRPr="00D114FA">
        <w:rPr>
          <w:rFonts w:ascii="Times New Roman" w:hAnsi="Times New Roman" w:cs="Times New Roman"/>
          <w:sz w:val="24"/>
          <w:szCs w:val="24"/>
        </w:rPr>
        <w:t xml:space="preserve"> eura.</w:t>
      </w:r>
      <w:r w:rsidR="00DD4FD6" w:rsidRPr="00D114FA">
        <w:rPr>
          <w:rFonts w:ascii="Times New Roman" w:hAnsi="Times New Roman" w:cs="Times New Roman"/>
          <w:sz w:val="24"/>
          <w:szCs w:val="24"/>
        </w:rPr>
        <w:t xml:space="preserve"> </w:t>
      </w:r>
      <w:r w:rsidR="00DD4FD6" w:rsidRPr="00D114FA">
        <w:rPr>
          <w:rFonts w:ascii="Times New Roman" w:hAnsi="Times New Roman" w:cs="Times New Roman"/>
          <w:sz w:val="24"/>
        </w:rPr>
        <w:t xml:space="preserve">U strukturi materijalnih rashoda najveći udio u visini od </w:t>
      </w:r>
      <w:r w:rsidR="00C803ED">
        <w:rPr>
          <w:rFonts w:ascii="Times New Roman" w:hAnsi="Times New Roman" w:cs="Times New Roman"/>
          <w:sz w:val="24"/>
        </w:rPr>
        <w:t>1.819.166,91</w:t>
      </w:r>
      <w:r w:rsidR="00D114FA" w:rsidRPr="00D114FA">
        <w:rPr>
          <w:rFonts w:ascii="Times New Roman" w:hAnsi="Times New Roman" w:cs="Times New Roman"/>
          <w:sz w:val="24"/>
        </w:rPr>
        <w:t xml:space="preserve"> eura</w:t>
      </w:r>
      <w:r w:rsidR="00DD4FD6" w:rsidRPr="00D114FA">
        <w:rPr>
          <w:rFonts w:ascii="Times New Roman" w:hAnsi="Times New Roman" w:cs="Times New Roman"/>
          <w:sz w:val="24"/>
        </w:rPr>
        <w:t xml:space="preserve"> imaju </w:t>
      </w:r>
      <w:r w:rsidR="00D36046" w:rsidRPr="00D114FA">
        <w:rPr>
          <w:rFonts w:ascii="Times New Roman" w:hAnsi="Times New Roman" w:cs="Times New Roman"/>
          <w:sz w:val="24"/>
        </w:rPr>
        <w:t>rashodi za usluge a za njima slijede</w:t>
      </w:r>
      <w:r w:rsidR="00A54D47" w:rsidRPr="00D114FA">
        <w:rPr>
          <w:rFonts w:ascii="Times New Roman" w:hAnsi="Times New Roman" w:cs="Times New Roman"/>
          <w:sz w:val="24"/>
        </w:rPr>
        <w:t xml:space="preserve"> rashodi za materijal i energiju koji su realizirani u iznosu od </w:t>
      </w:r>
      <w:r w:rsidR="00C803ED">
        <w:rPr>
          <w:rFonts w:ascii="Times New Roman" w:hAnsi="Times New Roman" w:cs="Times New Roman"/>
          <w:sz w:val="24"/>
        </w:rPr>
        <w:t>915.599,47</w:t>
      </w:r>
      <w:r w:rsidR="00C66C95" w:rsidRPr="00D114FA">
        <w:rPr>
          <w:rFonts w:ascii="Times New Roman" w:hAnsi="Times New Roman" w:cs="Times New Roman"/>
          <w:sz w:val="24"/>
        </w:rPr>
        <w:t xml:space="preserve"> </w:t>
      </w:r>
      <w:r w:rsidR="00D114FA" w:rsidRPr="00D114FA">
        <w:rPr>
          <w:rFonts w:ascii="Times New Roman" w:hAnsi="Times New Roman" w:cs="Times New Roman"/>
          <w:sz w:val="24"/>
        </w:rPr>
        <w:t xml:space="preserve">eura, </w:t>
      </w:r>
      <w:r w:rsidR="00C66C95" w:rsidRPr="00D114FA">
        <w:rPr>
          <w:rFonts w:ascii="Times New Roman" w:hAnsi="Times New Roman" w:cs="Times New Roman"/>
          <w:sz w:val="24"/>
        </w:rPr>
        <w:t>naknade troškova zaposlenima</w:t>
      </w:r>
      <w:r w:rsidR="007B6C58" w:rsidRPr="00D114FA">
        <w:rPr>
          <w:rFonts w:ascii="Times New Roman" w:hAnsi="Times New Roman" w:cs="Times New Roman"/>
          <w:sz w:val="24"/>
        </w:rPr>
        <w:t xml:space="preserve"> i osobama izvan radnog odnosa te</w:t>
      </w:r>
      <w:r w:rsidR="00D114FA" w:rsidRPr="00D114FA">
        <w:rPr>
          <w:rFonts w:ascii="Times New Roman" w:hAnsi="Times New Roman" w:cs="Times New Roman"/>
          <w:sz w:val="24"/>
        </w:rPr>
        <w:t xml:space="preserve"> ostali rashodi poslovanja ostvareni </w:t>
      </w:r>
      <w:r w:rsidR="00D36046" w:rsidRPr="00D114FA">
        <w:rPr>
          <w:rFonts w:ascii="Times New Roman" w:hAnsi="Times New Roman" w:cs="Times New Roman"/>
          <w:sz w:val="24"/>
        </w:rPr>
        <w:t xml:space="preserve">ukupnom iznosu od </w:t>
      </w:r>
      <w:r w:rsidR="00C803ED">
        <w:rPr>
          <w:rFonts w:ascii="Times New Roman" w:hAnsi="Times New Roman" w:cs="Times New Roman"/>
          <w:sz w:val="24"/>
        </w:rPr>
        <w:t>785.725,84</w:t>
      </w:r>
      <w:r w:rsidR="00D114FA" w:rsidRPr="00D114FA">
        <w:rPr>
          <w:rFonts w:ascii="Times New Roman" w:hAnsi="Times New Roman" w:cs="Times New Roman"/>
          <w:sz w:val="24"/>
        </w:rPr>
        <w:t xml:space="preserve"> eura</w:t>
      </w:r>
      <w:r w:rsidR="00D36046" w:rsidRPr="00D114FA">
        <w:rPr>
          <w:rFonts w:ascii="Times New Roman" w:hAnsi="Times New Roman" w:cs="Times New Roman"/>
          <w:sz w:val="24"/>
        </w:rPr>
        <w:t>.</w:t>
      </w:r>
      <w:r w:rsidR="00D36046" w:rsidRPr="00B307AD">
        <w:rPr>
          <w:rFonts w:ascii="Times New Roman" w:hAnsi="Times New Roman" w:cs="Times New Roman"/>
          <w:color w:val="4F81BD" w:themeColor="accent1"/>
          <w:sz w:val="24"/>
        </w:rPr>
        <w:t xml:space="preserve"> </w:t>
      </w:r>
      <w:r w:rsidR="00D36046" w:rsidRPr="00263794">
        <w:rPr>
          <w:rFonts w:ascii="Times New Roman" w:hAnsi="Times New Roman" w:cs="Times New Roman"/>
          <w:sz w:val="24"/>
        </w:rPr>
        <w:t>U</w:t>
      </w:r>
      <w:r w:rsidR="00A54D47" w:rsidRPr="00263794">
        <w:rPr>
          <w:rFonts w:ascii="Times New Roman" w:hAnsi="Times New Roman" w:cs="Times New Roman"/>
          <w:sz w:val="24"/>
        </w:rPr>
        <w:t>kupni materijalni rashodi o</w:t>
      </w:r>
      <w:r w:rsidR="00DD4FD6" w:rsidRPr="00263794">
        <w:rPr>
          <w:rFonts w:ascii="Times New Roman" w:hAnsi="Times New Roman" w:cs="Times New Roman"/>
          <w:sz w:val="24"/>
        </w:rPr>
        <w:t xml:space="preserve">buhvaćaju </w:t>
      </w:r>
      <w:r w:rsidR="0016123F" w:rsidRPr="00263794">
        <w:rPr>
          <w:rFonts w:ascii="Times New Roman" w:hAnsi="Times New Roman" w:cs="Times New Roman"/>
          <w:sz w:val="24"/>
        </w:rPr>
        <w:t xml:space="preserve">rashode za komunalne usluge, najamnine i zakupnine, </w:t>
      </w:r>
      <w:r w:rsidR="00DD4FD6" w:rsidRPr="00263794">
        <w:rPr>
          <w:rFonts w:ascii="Times New Roman" w:hAnsi="Times New Roman" w:cs="Times New Roman"/>
          <w:sz w:val="24"/>
        </w:rPr>
        <w:t>naknade troškova zaposlenima (službena putovanja, naknade za prijevoz na posao i s posla, stručno usavršavanje zaposlenika), rashode za materijal i energiju (uredski materijal i ostali materijalni rashodi, utrošak energije), rashode za usluge  telefona, pošte i prijevoza,  tekuće i investicijsko održavanje, usluge promidžbe i informiranja, zdravstvene usluge, intelektualne usluge, računalne usluge, te ostale nespomenute rashode poslovanja (naknad</w:t>
      </w:r>
      <w:r w:rsidR="0016123F" w:rsidRPr="00263794">
        <w:rPr>
          <w:rFonts w:ascii="Times New Roman" w:hAnsi="Times New Roman" w:cs="Times New Roman"/>
          <w:sz w:val="24"/>
        </w:rPr>
        <w:t>e za rad predstavničkih tijela,</w:t>
      </w:r>
      <w:r w:rsidR="00DD4FD6" w:rsidRPr="00263794">
        <w:rPr>
          <w:rFonts w:ascii="Times New Roman" w:hAnsi="Times New Roman" w:cs="Times New Roman"/>
          <w:sz w:val="24"/>
        </w:rPr>
        <w:t xml:space="preserve"> reprezentacija, premije osiguranja, članarine).</w:t>
      </w:r>
    </w:p>
    <w:p w14:paraId="54AF36E2" w14:textId="77777777" w:rsidR="00E82192" w:rsidRPr="00D0252C" w:rsidRDefault="00FB0DA1" w:rsidP="00FB0DA1">
      <w:pPr>
        <w:jc w:val="both"/>
        <w:rPr>
          <w:rFonts w:ascii="Times New Roman" w:hAnsi="Times New Roman" w:cs="Times New Roman"/>
          <w:sz w:val="24"/>
        </w:rPr>
      </w:pPr>
      <w:r w:rsidRPr="00D0252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31E3F" w:rsidRPr="00D0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5EC" w:rsidRPr="00D0252C">
        <w:rPr>
          <w:rFonts w:ascii="Times New Roman" w:hAnsi="Times New Roman" w:cs="Times New Roman"/>
          <w:b/>
          <w:sz w:val="24"/>
          <w:szCs w:val="24"/>
        </w:rPr>
        <w:t>4.3.</w:t>
      </w:r>
      <w:r w:rsidRPr="00D0252C">
        <w:rPr>
          <w:rFonts w:ascii="Times New Roman" w:hAnsi="Times New Roman" w:cs="Times New Roman"/>
          <w:b/>
          <w:sz w:val="24"/>
          <w:szCs w:val="24"/>
        </w:rPr>
        <w:t xml:space="preserve"> FINANCIJSKI </w:t>
      </w:r>
      <w:r w:rsidR="00531E3F" w:rsidRPr="00D0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52C">
        <w:rPr>
          <w:rFonts w:ascii="Times New Roman" w:hAnsi="Times New Roman" w:cs="Times New Roman"/>
          <w:b/>
          <w:sz w:val="24"/>
          <w:szCs w:val="24"/>
        </w:rPr>
        <w:t>RASHODI</w:t>
      </w:r>
    </w:p>
    <w:p w14:paraId="36912198" w14:textId="446ECB5A" w:rsidR="00CE7CE4" w:rsidRPr="009F2546" w:rsidRDefault="00FB0DA1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 xml:space="preserve">Financijski rashodi ostvareni </w:t>
      </w:r>
      <w:r w:rsidR="00D114FA">
        <w:rPr>
          <w:rFonts w:ascii="Times New Roman" w:hAnsi="Times New Roman" w:cs="Times New Roman"/>
          <w:sz w:val="24"/>
          <w:szCs w:val="24"/>
        </w:rPr>
        <w:t xml:space="preserve">su </w:t>
      </w:r>
      <w:r w:rsidRPr="00D0252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D114FA">
        <w:rPr>
          <w:rFonts w:ascii="Times New Roman" w:hAnsi="Times New Roman" w:cs="Times New Roman"/>
          <w:sz w:val="24"/>
          <w:szCs w:val="24"/>
        </w:rPr>
        <w:t>7</w:t>
      </w:r>
      <w:r w:rsidR="00C803ED">
        <w:rPr>
          <w:rFonts w:ascii="Times New Roman" w:hAnsi="Times New Roman" w:cs="Times New Roman"/>
          <w:sz w:val="24"/>
          <w:szCs w:val="24"/>
        </w:rPr>
        <w:t>8.468,61</w:t>
      </w:r>
      <w:r w:rsidR="00D114FA">
        <w:rPr>
          <w:rFonts w:ascii="Times New Roman" w:hAnsi="Times New Roman" w:cs="Times New Roman"/>
          <w:sz w:val="24"/>
          <w:szCs w:val="24"/>
        </w:rPr>
        <w:t xml:space="preserve"> eura</w:t>
      </w:r>
      <w:r w:rsidR="00025FEA" w:rsidRPr="00D0252C">
        <w:rPr>
          <w:rFonts w:ascii="Times New Roman" w:hAnsi="Times New Roman" w:cs="Times New Roman"/>
          <w:sz w:val="24"/>
          <w:szCs w:val="24"/>
        </w:rPr>
        <w:t xml:space="preserve">, </w:t>
      </w:r>
      <w:r w:rsidR="00A54D47"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="00025FEA" w:rsidRPr="00D0252C">
        <w:rPr>
          <w:rFonts w:ascii="Times New Roman" w:hAnsi="Times New Roman" w:cs="Times New Roman"/>
          <w:sz w:val="24"/>
          <w:szCs w:val="24"/>
        </w:rPr>
        <w:t xml:space="preserve">što čini </w:t>
      </w:r>
      <w:r w:rsidR="00C803ED">
        <w:rPr>
          <w:rFonts w:ascii="Times New Roman" w:hAnsi="Times New Roman" w:cs="Times New Roman"/>
          <w:sz w:val="24"/>
          <w:szCs w:val="24"/>
        </w:rPr>
        <w:t>10</w:t>
      </w:r>
      <w:r w:rsidR="00025FEA" w:rsidRPr="00D0252C">
        <w:rPr>
          <w:rFonts w:ascii="Times New Roman" w:hAnsi="Times New Roman" w:cs="Times New Roman"/>
          <w:sz w:val="24"/>
          <w:szCs w:val="24"/>
        </w:rPr>
        <w:t>% godišnjeg Plana, a</w:t>
      </w:r>
      <w:r w:rsidR="00A54D47"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="00B14149" w:rsidRPr="00D0252C">
        <w:rPr>
          <w:rFonts w:ascii="Times New Roman" w:hAnsi="Times New Roman" w:cs="Times New Roman"/>
          <w:sz w:val="24"/>
          <w:szCs w:val="24"/>
        </w:rPr>
        <w:t xml:space="preserve">odnose se </w:t>
      </w:r>
      <w:r w:rsidR="00E731BF" w:rsidRPr="00D0252C">
        <w:rPr>
          <w:rFonts w:ascii="Times New Roman" w:hAnsi="Times New Roman" w:cs="Times New Roman"/>
          <w:sz w:val="24"/>
          <w:szCs w:val="24"/>
        </w:rPr>
        <w:t xml:space="preserve">na </w:t>
      </w:r>
      <w:r w:rsidR="005A6523" w:rsidRPr="00D0252C">
        <w:rPr>
          <w:rFonts w:ascii="Times New Roman" w:hAnsi="Times New Roman" w:cs="Times New Roman"/>
          <w:sz w:val="24"/>
          <w:szCs w:val="24"/>
        </w:rPr>
        <w:t xml:space="preserve">kamate za primljene kredite, </w:t>
      </w:r>
      <w:r w:rsidR="00257741" w:rsidRPr="00D0252C">
        <w:rPr>
          <w:rFonts w:ascii="Times New Roman" w:hAnsi="Times New Roman" w:cs="Times New Roman"/>
          <w:sz w:val="24"/>
          <w:szCs w:val="24"/>
        </w:rPr>
        <w:t>bankarske usluge i usluge platnog prometa, zatezne kamate, naknade za usluge FINA-e kao i naknad</w:t>
      </w:r>
      <w:r w:rsidR="00E731BF" w:rsidRPr="00D0252C">
        <w:rPr>
          <w:rFonts w:ascii="Times New Roman" w:hAnsi="Times New Roman" w:cs="Times New Roman"/>
          <w:sz w:val="24"/>
          <w:szCs w:val="24"/>
        </w:rPr>
        <w:t>u</w:t>
      </w:r>
      <w:r w:rsidR="00257741" w:rsidRPr="00D0252C">
        <w:rPr>
          <w:rFonts w:ascii="Times New Roman" w:hAnsi="Times New Roman" w:cs="Times New Roman"/>
          <w:sz w:val="24"/>
          <w:szCs w:val="24"/>
        </w:rPr>
        <w:t xml:space="preserve"> Poreznoj upravi koja vrši naplatu </w:t>
      </w:r>
      <w:r w:rsidR="00653752" w:rsidRPr="00D0252C">
        <w:rPr>
          <w:rFonts w:ascii="Times New Roman" w:hAnsi="Times New Roman" w:cs="Times New Roman"/>
          <w:sz w:val="24"/>
          <w:szCs w:val="24"/>
        </w:rPr>
        <w:t>porez</w:t>
      </w:r>
      <w:r w:rsidR="009F2AA1" w:rsidRPr="00D0252C">
        <w:rPr>
          <w:rFonts w:ascii="Times New Roman" w:hAnsi="Times New Roman" w:cs="Times New Roman"/>
          <w:sz w:val="24"/>
          <w:szCs w:val="24"/>
        </w:rPr>
        <w:t>a</w:t>
      </w:r>
      <w:r w:rsidR="00653752" w:rsidRPr="00D0252C">
        <w:rPr>
          <w:rFonts w:ascii="Times New Roman" w:hAnsi="Times New Roman" w:cs="Times New Roman"/>
          <w:sz w:val="24"/>
          <w:szCs w:val="24"/>
        </w:rPr>
        <w:t xml:space="preserve"> na dohodak</w:t>
      </w:r>
      <w:r w:rsidR="004E3D3E" w:rsidRPr="00D0252C">
        <w:rPr>
          <w:rFonts w:ascii="Times New Roman" w:hAnsi="Times New Roman" w:cs="Times New Roman"/>
          <w:sz w:val="24"/>
          <w:szCs w:val="24"/>
        </w:rPr>
        <w:t>.</w:t>
      </w:r>
    </w:p>
    <w:p w14:paraId="5B4623B8" w14:textId="77777777" w:rsidR="00FB0DA1" w:rsidRPr="00271903" w:rsidRDefault="00FB0DA1" w:rsidP="00FB0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90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31E3F" w:rsidRPr="0027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E3F" w:rsidRPr="0027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b/>
          <w:sz w:val="24"/>
          <w:szCs w:val="24"/>
        </w:rPr>
        <w:t>4.4. SUBVENCIJE</w:t>
      </w:r>
    </w:p>
    <w:p w14:paraId="478C032A" w14:textId="25A91430" w:rsidR="00B057BC" w:rsidRDefault="00FB0DA1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271903">
        <w:rPr>
          <w:rFonts w:ascii="Times New Roman" w:hAnsi="Times New Roman" w:cs="Times New Roman"/>
          <w:sz w:val="24"/>
          <w:szCs w:val="24"/>
          <w:lang w:val="es-ES"/>
        </w:rPr>
        <w:t>Subvencije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ostvarene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iznosu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od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="00C803ED">
        <w:rPr>
          <w:rFonts w:ascii="Times New Roman" w:hAnsi="Times New Roman" w:cs="Times New Roman"/>
          <w:sz w:val="24"/>
          <w:szCs w:val="24"/>
        </w:rPr>
        <w:t>354.293,45</w:t>
      </w:r>
      <w:r w:rsidR="00D114FA">
        <w:rPr>
          <w:rFonts w:ascii="Times New Roman" w:hAnsi="Times New Roman" w:cs="Times New Roman"/>
          <w:sz w:val="24"/>
          <w:szCs w:val="24"/>
        </w:rPr>
        <w:t xml:space="preserve"> eura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114FA">
        <w:rPr>
          <w:rFonts w:ascii="Times New Roman" w:hAnsi="Times New Roman" w:cs="Times New Roman"/>
          <w:sz w:val="24"/>
          <w:szCs w:val="24"/>
          <w:lang w:val="es-ES"/>
        </w:rPr>
        <w:t xml:space="preserve">čime je realizirano 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="00C803ED">
        <w:rPr>
          <w:rFonts w:ascii="Times New Roman" w:hAnsi="Times New Roman" w:cs="Times New Roman"/>
          <w:sz w:val="24"/>
          <w:szCs w:val="24"/>
        </w:rPr>
        <w:t>3</w:t>
      </w:r>
      <w:r w:rsidR="00D114FA">
        <w:rPr>
          <w:rFonts w:ascii="Times New Roman" w:hAnsi="Times New Roman" w:cs="Times New Roman"/>
          <w:sz w:val="24"/>
          <w:szCs w:val="24"/>
        </w:rPr>
        <w:t>9</w:t>
      </w:r>
      <w:r w:rsidR="000719EC" w:rsidRPr="00271903">
        <w:rPr>
          <w:rFonts w:ascii="Times New Roman" w:hAnsi="Times New Roman" w:cs="Times New Roman"/>
          <w:sz w:val="24"/>
          <w:szCs w:val="24"/>
        </w:rPr>
        <w:t>% godišnjeg P</w:t>
      </w:r>
      <w:r w:rsidR="001468A7" w:rsidRPr="00271903">
        <w:rPr>
          <w:rFonts w:ascii="Times New Roman" w:hAnsi="Times New Roman" w:cs="Times New Roman"/>
          <w:sz w:val="24"/>
          <w:szCs w:val="24"/>
        </w:rPr>
        <w:t xml:space="preserve">lana a odnose se </w:t>
      </w:r>
      <w:r w:rsidR="00531E3F" w:rsidRPr="00271903">
        <w:rPr>
          <w:rFonts w:ascii="Times New Roman" w:hAnsi="Times New Roman" w:cs="Times New Roman"/>
          <w:sz w:val="24"/>
          <w:szCs w:val="24"/>
        </w:rPr>
        <w:t xml:space="preserve"> na </w:t>
      </w:r>
      <w:r w:rsidRPr="00271903">
        <w:rPr>
          <w:rFonts w:ascii="Times New Roman" w:hAnsi="Times New Roman" w:cs="Times New Roman"/>
          <w:sz w:val="24"/>
          <w:szCs w:val="24"/>
        </w:rPr>
        <w:t>kamate koje se subvencioniraju iz Proračuna po programima za realizirane poduzetničke kredite, poticanu st</w:t>
      </w:r>
      <w:r w:rsidR="00257741" w:rsidRPr="00271903">
        <w:rPr>
          <w:rFonts w:ascii="Times New Roman" w:hAnsi="Times New Roman" w:cs="Times New Roman"/>
          <w:sz w:val="24"/>
          <w:szCs w:val="24"/>
        </w:rPr>
        <w:t>anogradnju i kupnju prvo</w:t>
      </w:r>
      <w:r w:rsidR="00257741" w:rsidRPr="001C0798">
        <w:rPr>
          <w:rFonts w:ascii="Times New Roman" w:hAnsi="Times New Roman" w:cs="Times New Roman"/>
          <w:sz w:val="24"/>
          <w:szCs w:val="24"/>
        </w:rPr>
        <w:t>g stana</w:t>
      </w:r>
      <w:r w:rsidR="009858D6">
        <w:rPr>
          <w:rFonts w:ascii="Times New Roman" w:hAnsi="Times New Roman" w:cs="Times New Roman"/>
          <w:sz w:val="24"/>
          <w:szCs w:val="24"/>
        </w:rPr>
        <w:t>, potpore za financiranje programskih sadržaja medija te sufinanciranje boravka predškolske djece u privatnim vrtićima.</w:t>
      </w:r>
      <w:r w:rsidR="00257741" w:rsidRPr="001C0798">
        <w:rPr>
          <w:rFonts w:ascii="Times New Roman" w:hAnsi="Times New Roman" w:cs="Times New Roman"/>
          <w:sz w:val="24"/>
          <w:szCs w:val="24"/>
        </w:rPr>
        <w:t xml:space="preserve"> </w:t>
      </w:r>
      <w:r w:rsidR="00E731BF" w:rsidRPr="001C0798">
        <w:rPr>
          <w:rFonts w:ascii="Times New Roman" w:hAnsi="Times New Roman" w:cs="Times New Roman"/>
          <w:sz w:val="24"/>
          <w:szCs w:val="24"/>
        </w:rPr>
        <w:t xml:space="preserve">Također se, kroz subvencije trgovačkim društvima </w:t>
      </w:r>
      <w:r w:rsidR="00B057BC">
        <w:rPr>
          <w:rFonts w:ascii="Times New Roman" w:hAnsi="Times New Roman" w:cs="Times New Roman"/>
          <w:sz w:val="24"/>
          <w:szCs w:val="24"/>
        </w:rPr>
        <w:t>u  javnom</w:t>
      </w:r>
      <w:r w:rsidR="00E731BF" w:rsidRPr="001C0798">
        <w:rPr>
          <w:rFonts w:ascii="Times New Roman" w:hAnsi="Times New Roman" w:cs="Times New Roman"/>
          <w:sz w:val="24"/>
          <w:szCs w:val="24"/>
        </w:rPr>
        <w:t xml:space="preserve"> sektor</w:t>
      </w:r>
      <w:r w:rsidR="00B057BC">
        <w:rPr>
          <w:rFonts w:ascii="Times New Roman" w:hAnsi="Times New Roman" w:cs="Times New Roman"/>
          <w:sz w:val="24"/>
          <w:szCs w:val="24"/>
        </w:rPr>
        <w:t xml:space="preserve">u sufinancira redovan rad TD Poduzetnički inkubator </w:t>
      </w:r>
      <w:proofErr w:type="spellStart"/>
      <w:r w:rsidR="00B057BC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9B4AE2">
        <w:rPr>
          <w:rFonts w:ascii="Times New Roman" w:hAnsi="Times New Roman" w:cs="Times New Roman"/>
          <w:sz w:val="24"/>
          <w:szCs w:val="24"/>
        </w:rPr>
        <w:t xml:space="preserve"> i Parentium d.o.o.</w:t>
      </w:r>
    </w:p>
    <w:p w14:paraId="00B13D48" w14:textId="4FA351F5" w:rsidR="00FB0DA1" w:rsidRPr="009B3C61" w:rsidRDefault="00E731BF" w:rsidP="00FB0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C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FB0DA1" w:rsidRPr="009B3C61">
        <w:rPr>
          <w:rFonts w:ascii="Times New Roman" w:hAnsi="Times New Roman" w:cs="Times New Roman"/>
          <w:b/>
          <w:sz w:val="24"/>
          <w:szCs w:val="24"/>
        </w:rPr>
        <w:t>4.5.</w:t>
      </w:r>
      <w:r w:rsidR="00531E3F" w:rsidRPr="009B3C61">
        <w:rPr>
          <w:rFonts w:ascii="Times New Roman" w:hAnsi="Times New Roman" w:cs="Times New Roman"/>
          <w:b/>
          <w:sz w:val="24"/>
          <w:szCs w:val="24"/>
        </w:rPr>
        <w:t xml:space="preserve"> POMOĆI  </w:t>
      </w:r>
    </w:p>
    <w:p w14:paraId="4300E953" w14:textId="697C178E" w:rsidR="001E64EF" w:rsidRDefault="00531E3F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9B3C61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FB0DA1" w:rsidRPr="009B3C61">
        <w:rPr>
          <w:rFonts w:ascii="Times New Roman" w:hAnsi="Times New Roman" w:cs="Times New Roman"/>
          <w:sz w:val="24"/>
          <w:szCs w:val="24"/>
          <w:lang w:val="es-ES"/>
        </w:rPr>
        <w:t>ekuće i kapitalne</w:t>
      </w:r>
      <w:r w:rsidRPr="009B3C61">
        <w:rPr>
          <w:rFonts w:ascii="Times New Roman" w:hAnsi="Times New Roman" w:cs="Times New Roman"/>
          <w:sz w:val="24"/>
          <w:szCs w:val="24"/>
          <w:lang w:val="es-ES"/>
        </w:rPr>
        <w:t xml:space="preserve"> pomoći </w:t>
      </w:r>
      <w:r w:rsidR="00FB0DA1" w:rsidRPr="009B3C61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="00FB0DA1" w:rsidRPr="009B3C61">
        <w:rPr>
          <w:rFonts w:ascii="Times New Roman" w:hAnsi="Times New Roman" w:cs="Times New Roman"/>
          <w:sz w:val="24"/>
          <w:szCs w:val="24"/>
        </w:rPr>
        <w:t xml:space="preserve"> tijekom prve polovine godine realizirane u iznosu od  </w:t>
      </w:r>
      <w:r w:rsidR="001E64EF">
        <w:rPr>
          <w:rFonts w:ascii="Times New Roman" w:hAnsi="Times New Roman" w:cs="Times New Roman"/>
          <w:sz w:val="24"/>
          <w:szCs w:val="24"/>
        </w:rPr>
        <w:t>518.848,72</w:t>
      </w:r>
      <w:r w:rsidR="00D114FA">
        <w:rPr>
          <w:rFonts w:ascii="Times New Roman" w:hAnsi="Times New Roman" w:cs="Times New Roman"/>
          <w:sz w:val="24"/>
          <w:szCs w:val="24"/>
        </w:rPr>
        <w:t xml:space="preserve"> eura </w:t>
      </w:r>
      <w:r w:rsidR="00FB0DA1" w:rsidRPr="009B3C61">
        <w:rPr>
          <w:rFonts w:ascii="Times New Roman" w:hAnsi="Times New Roman" w:cs="Times New Roman"/>
          <w:sz w:val="24"/>
          <w:szCs w:val="24"/>
        </w:rPr>
        <w:t>čim</w:t>
      </w:r>
      <w:r w:rsidRPr="009B3C61">
        <w:rPr>
          <w:rFonts w:ascii="Times New Roman" w:hAnsi="Times New Roman" w:cs="Times New Roman"/>
          <w:sz w:val="24"/>
          <w:szCs w:val="24"/>
        </w:rPr>
        <w:t xml:space="preserve">e je ostvareno </w:t>
      </w:r>
      <w:r w:rsidR="001E64EF">
        <w:rPr>
          <w:rFonts w:ascii="Times New Roman" w:hAnsi="Times New Roman" w:cs="Times New Roman"/>
          <w:sz w:val="24"/>
          <w:szCs w:val="24"/>
        </w:rPr>
        <w:t>52</w:t>
      </w:r>
      <w:r w:rsidR="003E0B5C" w:rsidRPr="009B3C61">
        <w:rPr>
          <w:rFonts w:ascii="Times New Roman" w:hAnsi="Times New Roman" w:cs="Times New Roman"/>
          <w:sz w:val="24"/>
          <w:szCs w:val="24"/>
        </w:rPr>
        <w:t>% godišnjeg P</w:t>
      </w:r>
      <w:r w:rsidR="00FB0DA1" w:rsidRPr="009B3C61">
        <w:rPr>
          <w:rFonts w:ascii="Times New Roman" w:hAnsi="Times New Roman" w:cs="Times New Roman"/>
          <w:sz w:val="24"/>
          <w:szCs w:val="24"/>
        </w:rPr>
        <w:t xml:space="preserve">lana. Navedeni se rashodi odnose na </w:t>
      </w:r>
      <w:r w:rsidR="00064D9F" w:rsidRPr="009B3C61">
        <w:rPr>
          <w:rFonts w:ascii="Times New Roman" w:hAnsi="Times New Roman" w:cs="Times New Roman"/>
          <w:sz w:val="24"/>
          <w:szCs w:val="24"/>
        </w:rPr>
        <w:t>s</w:t>
      </w:r>
      <w:r w:rsidR="00FB0DA1" w:rsidRPr="009B3C61">
        <w:rPr>
          <w:rFonts w:ascii="Times New Roman" w:hAnsi="Times New Roman" w:cs="Times New Roman"/>
          <w:sz w:val="24"/>
          <w:szCs w:val="24"/>
        </w:rPr>
        <w:t>ufinanciranje pojedinih aktivnosti srednjoškolskog obrazovanja,  Doma za djecu, mladež i odrasle osob</w:t>
      </w:r>
      <w:r w:rsidR="00C60F67" w:rsidRPr="009B3C61">
        <w:rPr>
          <w:rFonts w:ascii="Times New Roman" w:hAnsi="Times New Roman" w:cs="Times New Roman"/>
          <w:sz w:val="24"/>
          <w:szCs w:val="24"/>
        </w:rPr>
        <w:t>e sa cerebralnom paralizom</w:t>
      </w:r>
      <w:r w:rsidR="00FF5B97" w:rsidRPr="009B3C61">
        <w:rPr>
          <w:rFonts w:ascii="Times New Roman" w:hAnsi="Times New Roman" w:cs="Times New Roman"/>
          <w:sz w:val="24"/>
          <w:szCs w:val="24"/>
        </w:rPr>
        <w:t xml:space="preserve">, </w:t>
      </w:r>
      <w:r w:rsidR="00064D9F" w:rsidRPr="009B3C61">
        <w:rPr>
          <w:rFonts w:ascii="Times New Roman" w:hAnsi="Times New Roman" w:cs="Times New Roman"/>
          <w:sz w:val="24"/>
          <w:szCs w:val="24"/>
        </w:rPr>
        <w:t xml:space="preserve">sufinanciranje projekta </w:t>
      </w:r>
      <w:r w:rsidR="009B3C61" w:rsidRPr="009B3C6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4240B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="00F4240B">
        <w:rPr>
          <w:rFonts w:ascii="Times New Roman" w:hAnsi="Times New Roman" w:cs="Times New Roman"/>
          <w:sz w:val="24"/>
          <w:szCs w:val="24"/>
        </w:rPr>
        <w:t xml:space="preserve"> torba zajedništva“</w:t>
      </w:r>
      <w:r w:rsidR="009B3C61" w:rsidRPr="009B3C61">
        <w:rPr>
          <w:rFonts w:ascii="Times New Roman" w:hAnsi="Times New Roman" w:cs="Times New Roman"/>
          <w:sz w:val="24"/>
          <w:szCs w:val="24"/>
        </w:rPr>
        <w:t>,</w:t>
      </w:r>
      <w:r w:rsidR="002E5537" w:rsidRPr="009B3C61">
        <w:rPr>
          <w:rFonts w:ascii="Times New Roman" w:hAnsi="Times New Roman" w:cs="Times New Roman"/>
          <w:sz w:val="24"/>
          <w:szCs w:val="24"/>
        </w:rPr>
        <w:t xml:space="preserve"> financiranje znanstveno–istraživačkog rada Instituta za poljoprivredu i turizam, </w:t>
      </w:r>
      <w:r w:rsidR="00C60F67" w:rsidRPr="009B3C61">
        <w:rPr>
          <w:rFonts w:ascii="Times New Roman" w:hAnsi="Times New Roman" w:cs="Times New Roman"/>
          <w:sz w:val="24"/>
          <w:szCs w:val="24"/>
        </w:rPr>
        <w:t xml:space="preserve">sve </w:t>
      </w:r>
      <w:r w:rsidR="00FB0DA1" w:rsidRPr="009B3C61">
        <w:rPr>
          <w:rFonts w:ascii="Times New Roman" w:hAnsi="Times New Roman" w:cs="Times New Roman"/>
          <w:sz w:val="24"/>
          <w:szCs w:val="24"/>
        </w:rPr>
        <w:t xml:space="preserve">temeljem sklopljenih </w:t>
      </w:r>
      <w:r w:rsidR="00707FDF" w:rsidRPr="009B3C61">
        <w:rPr>
          <w:rFonts w:ascii="Times New Roman" w:hAnsi="Times New Roman" w:cs="Times New Roman"/>
          <w:sz w:val="24"/>
          <w:szCs w:val="24"/>
        </w:rPr>
        <w:t>u</w:t>
      </w:r>
      <w:r w:rsidR="001468A7" w:rsidRPr="009B3C61">
        <w:rPr>
          <w:rFonts w:ascii="Times New Roman" w:hAnsi="Times New Roman" w:cs="Times New Roman"/>
          <w:sz w:val="24"/>
          <w:szCs w:val="24"/>
        </w:rPr>
        <w:t>govora o</w:t>
      </w:r>
      <w:r w:rsidR="004E16D0" w:rsidRPr="009B3C61">
        <w:rPr>
          <w:rFonts w:ascii="Times New Roman" w:hAnsi="Times New Roman" w:cs="Times New Roman"/>
          <w:sz w:val="24"/>
          <w:szCs w:val="24"/>
        </w:rPr>
        <w:t xml:space="preserve"> korištenju sredstava Proračuna</w:t>
      </w:r>
      <w:r w:rsidR="001E64EF">
        <w:rPr>
          <w:rFonts w:ascii="Times New Roman" w:hAnsi="Times New Roman" w:cs="Times New Roman"/>
          <w:sz w:val="24"/>
          <w:szCs w:val="24"/>
        </w:rPr>
        <w:t>.</w:t>
      </w:r>
    </w:p>
    <w:p w14:paraId="2E654788" w14:textId="40AE1A41" w:rsidR="003D3DED" w:rsidRPr="00A32EC2" w:rsidRDefault="00A32EC2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0DA1" w:rsidRPr="001E7C88">
        <w:rPr>
          <w:rFonts w:ascii="Times New Roman" w:hAnsi="Times New Roman" w:cs="Times New Roman"/>
          <w:b/>
          <w:sz w:val="24"/>
          <w:szCs w:val="24"/>
        </w:rPr>
        <w:t xml:space="preserve">  4.6.</w:t>
      </w:r>
      <w:r w:rsidR="003D3DED" w:rsidRPr="001E7C88">
        <w:rPr>
          <w:rFonts w:ascii="Times New Roman" w:hAnsi="Times New Roman" w:cs="Times New Roman"/>
          <w:b/>
          <w:sz w:val="24"/>
          <w:szCs w:val="24"/>
        </w:rPr>
        <w:t xml:space="preserve"> NAKNADE GRAĐANIMA I KUĆANSTVIMA</w:t>
      </w:r>
    </w:p>
    <w:p w14:paraId="0F116520" w14:textId="5ED5FEAF" w:rsidR="00E22FF4" w:rsidRPr="009F2546" w:rsidRDefault="003D3DED" w:rsidP="00FB0DA1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E7C88">
        <w:rPr>
          <w:rFonts w:ascii="Times New Roman" w:hAnsi="Times New Roman" w:cs="Times New Roman"/>
          <w:sz w:val="24"/>
          <w:szCs w:val="24"/>
        </w:rPr>
        <w:t>Rashodi nastali isplata</w:t>
      </w:r>
      <w:r w:rsidR="00B14149" w:rsidRPr="001E7C88">
        <w:rPr>
          <w:rFonts w:ascii="Times New Roman" w:hAnsi="Times New Roman" w:cs="Times New Roman"/>
          <w:sz w:val="24"/>
          <w:szCs w:val="24"/>
        </w:rPr>
        <w:t>ma</w:t>
      </w:r>
      <w:r w:rsidRPr="001E7C88">
        <w:rPr>
          <w:rFonts w:ascii="Times New Roman" w:hAnsi="Times New Roman" w:cs="Times New Roman"/>
          <w:sz w:val="24"/>
          <w:szCs w:val="24"/>
        </w:rPr>
        <w:t xml:space="preserve"> naknada građanima i kućanstvima ostvareni su u visini od </w:t>
      </w:r>
      <w:r w:rsidR="001E64EF">
        <w:rPr>
          <w:rFonts w:ascii="Times New Roman" w:hAnsi="Times New Roman" w:cs="Times New Roman"/>
          <w:sz w:val="24"/>
          <w:szCs w:val="24"/>
        </w:rPr>
        <w:t>644.825,95</w:t>
      </w:r>
      <w:r w:rsidR="00923814">
        <w:rPr>
          <w:rFonts w:ascii="Times New Roman" w:hAnsi="Times New Roman" w:cs="Times New Roman"/>
          <w:sz w:val="24"/>
          <w:szCs w:val="24"/>
        </w:rPr>
        <w:t xml:space="preserve"> eura</w:t>
      </w:r>
      <w:r w:rsidRPr="001E7C88">
        <w:rPr>
          <w:rFonts w:ascii="Times New Roman" w:hAnsi="Times New Roman" w:cs="Times New Roman"/>
          <w:sz w:val="24"/>
          <w:szCs w:val="24"/>
        </w:rPr>
        <w:t>. U odnosu na Plan za 20</w:t>
      </w:r>
      <w:r w:rsidR="00CE3535" w:rsidRPr="001E7C88">
        <w:rPr>
          <w:rFonts w:ascii="Times New Roman" w:hAnsi="Times New Roman" w:cs="Times New Roman"/>
          <w:sz w:val="24"/>
          <w:szCs w:val="24"/>
        </w:rPr>
        <w:t>2</w:t>
      </w:r>
      <w:r w:rsidR="001E64EF">
        <w:rPr>
          <w:rFonts w:ascii="Times New Roman" w:hAnsi="Times New Roman" w:cs="Times New Roman"/>
          <w:sz w:val="24"/>
          <w:szCs w:val="24"/>
        </w:rPr>
        <w:t>4</w:t>
      </w:r>
      <w:r w:rsidRPr="001E7C88">
        <w:rPr>
          <w:rFonts w:ascii="Times New Roman" w:hAnsi="Times New Roman" w:cs="Times New Roman"/>
          <w:sz w:val="24"/>
          <w:szCs w:val="24"/>
        </w:rPr>
        <w:t xml:space="preserve">. godinu ostvareno je </w:t>
      </w:r>
      <w:r w:rsidR="0008321C">
        <w:rPr>
          <w:rFonts w:ascii="Times New Roman" w:hAnsi="Times New Roman" w:cs="Times New Roman"/>
          <w:sz w:val="24"/>
          <w:szCs w:val="24"/>
        </w:rPr>
        <w:t>3</w:t>
      </w:r>
      <w:r w:rsidR="001E64EF">
        <w:rPr>
          <w:rFonts w:ascii="Times New Roman" w:hAnsi="Times New Roman" w:cs="Times New Roman"/>
          <w:sz w:val="24"/>
          <w:szCs w:val="24"/>
        </w:rPr>
        <w:t>4</w:t>
      </w:r>
      <w:r w:rsidRPr="001E7C88">
        <w:rPr>
          <w:rFonts w:ascii="Times New Roman" w:hAnsi="Times New Roman" w:cs="Times New Roman"/>
          <w:sz w:val="24"/>
          <w:szCs w:val="24"/>
        </w:rPr>
        <w:t>%  planiranih rashoda, a u odnosu na izvršen</w:t>
      </w:r>
      <w:r w:rsidR="0016123F" w:rsidRPr="001E7C88">
        <w:rPr>
          <w:rFonts w:ascii="Times New Roman" w:hAnsi="Times New Roman" w:cs="Times New Roman"/>
          <w:sz w:val="24"/>
          <w:szCs w:val="24"/>
        </w:rPr>
        <w:t>j</w:t>
      </w:r>
      <w:r w:rsidRPr="001E7C88">
        <w:rPr>
          <w:rFonts w:ascii="Times New Roman" w:hAnsi="Times New Roman" w:cs="Times New Roman"/>
          <w:sz w:val="24"/>
          <w:szCs w:val="24"/>
        </w:rPr>
        <w:t>e u istom razdoblju prethodne godine realizacija je</w:t>
      </w:r>
      <w:r w:rsidR="00AA2FA2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1E7C88" w:rsidRPr="001E7C88">
        <w:rPr>
          <w:rFonts w:ascii="Times New Roman" w:hAnsi="Times New Roman" w:cs="Times New Roman"/>
          <w:sz w:val="24"/>
          <w:szCs w:val="24"/>
        </w:rPr>
        <w:t>uvećana</w:t>
      </w:r>
      <w:r w:rsidRPr="001E7C88">
        <w:rPr>
          <w:rFonts w:ascii="Times New Roman" w:hAnsi="Times New Roman" w:cs="Times New Roman"/>
          <w:sz w:val="24"/>
          <w:szCs w:val="24"/>
        </w:rPr>
        <w:t xml:space="preserve"> za </w:t>
      </w:r>
      <w:r w:rsidR="001E64EF">
        <w:rPr>
          <w:rFonts w:ascii="Times New Roman" w:hAnsi="Times New Roman" w:cs="Times New Roman"/>
          <w:sz w:val="24"/>
          <w:szCs w:val="24"/>
        </w:rPr>
        <w:t>26</w:t>
      </w:r>
      <w:r w:rsidR="00AA2FA2" w:rsidRPr="001E7C88">
        <w:rPr>
          <w:rFonts w:ascii="Times New Roman" w:hAnsi="Times New Roman" w:cs="Times New Roman"/>
          <w:sz w:val="24"/>
          <w:szCs w:val="24"/>
        </w:rPr>
        <w:t>%</w:t>
      </w:r>
      <w:r w:rsidR="001468A7" w:rsidRPr="001E7C88">
        <w:rPr>
          <w:rFonts w:ascii="Times New Roman" w:hAnsi="Times New Roman" w:cs="Times New Roman"/>
          <w:sz w:val="24"/>
          <w:szCs w:val="24"/>
        </w:rPr>
        <w:t>.</w:t>
      </w:r>
      <w:r w:rsidR="00C905D2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Navedene naknade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odnose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se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na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sufinanciranje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prijevoza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FB0DA1" w:rsidRPr="001E7C88">
        <w:rPr>
          <w:rFonts w:ascii="Times New Roman" w:hAnsi="Times New Roman" w:cs="Times New Roman"/>
          <w:sz w:val="24"/>
          <w:szCs w:val="24"/>
        </w:rPr>
        <w:t>č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enika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,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FB0DA1" w:rsidRPr="001E7C88">
        <w:rPr>
          <w:rFonts w:ascii="Times New Roman" w:hAnsi="Times New Roman" w:cs="Times New Roman"/>
          <w:sz w:val="24"/>
          <w:szCs w:val="24"/>
        </w:rPr>
        <w:t>č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eni</w:t>
      </w:r>
      <w:r w:rsidR="00FB0DA1" w:rsidRPr="001E7C88">
        <w:rPr>
          <w:rFonts w:ascii="Times New Roman" w:hAnsi="Times New Roman" w:cs="Times New Roman"/>
          <w:sz w:val="24"/>
          <w:szCs w:val="24"/>
        </w:rPr>
        <w:t>č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ke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studentske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stipendije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,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potpore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pomo</w:t>
      </w:r>
      <w:r w:rsidR="00FB0DA1" w:rsidRPr="001E7C88">
        <w:rPr>
          <w:rFonts w:ascii="Times New Roman" w:hAnsi="Times New Roman" w:cs="Times New Roman"/>
          <w:sz w:val="24"/>
          <w:szCs w:val="24"/>
        </w:rPr>
        <w:t>ć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socijalnom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programu</w:t>
      </w:r>
      <w:r w:rsidR="00BB4EC7">
        <w:rPr>
          <w:rFonts w:ascii="Times New Roman" w:hAnsi="Times New Roman" w:cs="Times New Roman"/>
          <w:sz w:val="24"/>
          <w:szCs w:val="24"/>
          <w:lang w:val="es-ES"/>
        </w:rPr>
        <w:t>, sufinanciranje dopunskog zdravstvenog osiguranja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umirovljenicima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grada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Pore</w:t>
      </w:r>
      <w:r w:rsidR="00FB0DA1" w:rsidRPr="001E7C88">
        <w:rPr>
          <w:rFonts w:ascii="Times New Roman" w:hAnsi="Times New Roman" w:cs="Times New Roman"/>
          <w:sz w:val="24"/>
          <w:szCs w:val="24"/>
        </w:rPr>
        <w:t>č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1E7C88" w:rsidRPr="001E7C88">
        <w:rPr>
          <w:rFonts w:ascii="Times New Roman" w:hAnsi="Times New Roman" w:cs="Times New Roman"/>
          <w:sz w:val="24"/>
          <w:szCs w:val="24"/>
          <w:lang w:val="es-ES"/>
        </w:rPr>
        <w:t xml:space="preserve"> te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sufinanciranje smještaja i programa ustanove Doma za starije i nemoćne osobe</w:t>
      </w:r>
      <w:r w:rsidR="00875728" w:rsidRPr="001E7C88">
        <w:rPr>
          <w:rFonts w:ascii="Times New Roman" w:hAnsi="Times New Roman" w:cs="Times New Roman"/>
          <w:sz w:val="24"/>
          <w:szCs w:val="24"/>
        </w:rPr>
        <w:t>.</w:t>
      </w:r>
    </w:p>
    <w:p w14:paraId="296132CD" w14:textId="77777777" w:rsidR="00FB0DA1" w:rsidRPr="008E01A2" w:rsidRDefault="003D3DED" w:rsidP="00FB0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1A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B0DA1" w:rsidRPr="008E01A2">
        <w:rPr>
          <w:rFonts w:ascii="Times New Roman" w:hAnsi="Times New Roman" w:cs="Times New Roman"/>
          <w:b/>
          <w:sz w:val="24"/>
          <w:szCs w:val="24"/>
        </w:rPr>
        <w:t>4.7.</w:t>
      </w:r>
      <w:r w:rsidRPr="008E01A2">
        <w:rPr>
          <w:rFonts w:ascii="Times New Roman" w:hAnsi="Times New Roman" w:cs="Times New Roman"/>
          <w:b/>
          <w:sz w:val="24"/>
          <w:szCs w:val="24"/>
        </w:rPr>
        <w:t xml:space="preserve"> OSTALI RASHODI</w:t>
      </w:r>
    </w:p>
    <w:p w14:paraId="10E6A277" w14:textId="17EABCD8" w:rsidR="00FB0DA1" w:rsidRPr="008E01A2" w:rsidRDefault="003D3DED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8E01A2">
        <w:rPr>
          <w:rFonts w:ascii="Times New Roman" w:hAnsi="Times New Roman" w:cs="Times New Roman"/>
          <w:sz w:val="24"/>
          <w:szCs w:val="24"/>
        </w:rPr>
        <w:t xml:space="preserve">Ostali rashodi su kroz tekuće i kapitalne donacije, kazne i kapitalne pomoći ostvareni u iznosu od </w:t>
      </w:r>
      <w:r w:rsidR="001E64EF">
        <w:rPr>
          <w:rFonts w:ascii="Times New Roman" w:hAnsi="Times New Roman" w:cs="Times New Roman"/>
          <w:sz w:val="24"/>
          <w:szCs w:val="24"/>
        </w:rPr>
        <w:t>1.555.654,14</w:t>
      </w:r>
      <w:r w:rsidR="004808EC">
        <w:rPr>
          <w:rFonts w:ascii="Times New Roman" w:hAnsi="Times New Roman" w:cs="Times New Roman"/>
          <w:sz w:val="24"/>
          <w:szCs w:val="24"/>
        </w:rPr>
        <w:t xml:space="preserve"> eura</w:t>
      </w:r>
      <w:r w:rsidRPr="008E01A2">
        <w:rPr>
          <w:rFonts w:ascii="Times New Roman" w:hAnsi="Times New Roman" w:cs="Times New Roman"/>
          <w:sz w:val="24"/>
          <w:szCs w:val="24"/>
        </w:rPr>
        <w:t>. U odnosu na planirana sredstva u 20</w:t>
      </w:r>
      <w:r w:rsidR="008E01A2" w:rsidRPr="008E01A2">
        <w:rPr>
          <w:rFonts w:ascii="Times New Roman" w:hAnsi="Times New Roman" w:cs="Times New Roman"/>
          <w:sz w:val="24"/>
          <w:szCs w:val="24"/>
        </w:rPr>
        <w:t>2</w:t>
      </w:r>
      <w:r w:rsidR="001E64EF">
        <w:rPr>
          <w:rFonts w:ascii="Times New Roman" w:hAnsi="Times New Roman" w:cs="Times New Roman"/>
          <w:sz w:val="24"/>
          <w:szCs w:val="24"/>
        </w:rPr>
        <w:t>4</w:t>
      </w:r>
      <w:r w:rsidRPr="008E01A2">
        <w:rPr>
          <w:rFonts w:ascii="Times New Roman" w:hAnsi="Times New Roman" w:cs="Times New Roman"/>
          <w:sz w:val="24"/>
          <w:szCs w:val="24"/>
        </w:rPr>
        <w:t xml:space="preserve">. godini ostvareno je </w:t>
      </w:r>
      <w:r w:rsidR="008E01A2" w:rsidRPr="008E01A2">
        <w:rPr>
          <w:rFonts w:ascii="Times New Roman" w:hAnsi="Times New Roman" w:cs="Times New Roman"/>
          <w:sz w:val="24"/>
          <w:szCs w:val="24"/>
        </w:rPr>
        <w:t>4</w:t>
      </w:r>
      <w:r w:rsidR="001E64EF">
        <w:rPr>
          <w:rFonts w:ascii="Times New Roman" w:hAnsi="Times New Roman" w:cs="Times New Roman"/>
          <w:sz w:val="24"/>
          <w:szCs w:val="24"/>
        </w:rPr>
        <w:t>5</w:t>
      </w:r>
      <w:r w:rsidRPr="008E01A2">
        <w:rPr>
          <w:rFonts w:ascii="Times New Roman" w:hAnsi="Times New Roman" w:cs="Times New Roman"/>
          <w:sz w:val="24"/>
          <w:szCs w:val="24"/>
        </w:rPr>
        <w:t xml:space="preserve">% Plana, dok je u odnosu na realizaciju u prethodnoj godini ostvareno </w:t>
      </w:r>
      <w:r w:rsidR="001E64EF">
        <w:rPr>
          <w:rFonts w:ascii="Times New Roman" w:hAnsi="Times New Roman" w:cs="Times New Roman"/>
          <w:sz w:val="24"/>
          <w:szCs w:val="24"/>
        </w:rPr>
        <w:t>povećanje od 18%</w:t>
      </w:r>
      <w:r w:rsidR="004808EC">
        <w:rPr>
          <w:rFonts w:ascii="Times New Roman" w:hAnsi="Times New Roman" w:cs="Times New Roman"/>
          <w:sz w:val="24"/>
          <w:szCs w:val="24"/>
        </w:rPr>
        <w:t>.</w:t>
      </w:r>
      <w:r w:rsidR="00FB0DA1" w:rsidRPr="008E01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F36759" w14:textId="2DFAAC5E" w:rsidR="00FB0DA1" w:rsidRDefault="00FB0DA1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E42EA9">
        <w:rPr>
          <w:rFonts w:ascii="Times New Roman" w:hAnsi="Times New Roman" w:cs="Times New Roman"/>
          <w:sz w:val="24"/>
          <w:szCs w:val="24"/>
        </w:rPr>
        <w:t>T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eku</w:t>
      </w:r>
      <w:r w:rsidRPr="00E42EA9">
        <w:rPr>
          <w:rFonts w:ascii="Times New Roman" w:hAnsi="Times New Roman" w:cs="Times New Roman"/>
          <w:sz w:val="24"/>
          <w:szCs w:val="24"/>
        </w:rPr>
        <w:t>ć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2A1960"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donacije ostvarene</w:t>
      </w:r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iznosu</w:t>
      </w:r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="004808EC">
        <w:rPr>
          <w:rFonts w:ascii="Times New Roman" w:hAnsi="Times New Roman" w:cs="Times New Roman"/>
          <w:sz w:val="24"/>
          <w:szCs w:val="24"/>
        </w:rPr>
        <w:t>1.0</w:t>
      </w:r>
      <w:r w:rsidR="001E64EF">
        <w:rPr>
          <w:rFonts w:ascii="Times New Roman" w:hAnsi="Times New Roman" w:cs="Times New Roman"/>
          <w:sz w:val="24"/>
          <w:szCs w:val="24"/>
        </w:rPr>
        <w:t>54.155,62</w:t>
      </w:r>
      <w:r w:rsidR="004808EC">
        <w:rPr>
          <w:rFonts w:ascii="Times New Roman" w:hAnsi="Times New Roman" w:cs="Times New Roman"/>
          <w:sz w:val="24"/>
          <w:szCs w:val="24"/>
        </w:rPr>
        <w:t xml:space="preserve"> eura</w:t>
      </w:r>
      <w:r w:rsidR="00B14149" w:rsidRPr="00E42EA9">
        <w:rPr>
          <w:rFonts w:ascii="Times New Roman" w:hAnsi="Times New Roman" w:cs="Times New Roman"/>
          <w:sz w:val="24"/>
          <w:szCs w:val="24"/>
          <w:lang w:val="es-ES"/>
        </w:rPr>
        <w:t xml:space="preserve"> čime je godišnji plan ostvaren u </w:t>
      </w:r>
      <w:r w:rsidR="001E64EF">
        <w:rPr>
          <w:rFonts w:ascii="Times New Roman" w:hAnsi="Times New Roman" w:cs="Times New Roman"/>
          <w:sz w:val="24"/>
          <w:szCs w:val="24"/>
          <w:lang w:val="es-ES"/>
        </w:rPr>
        <w:t>47</w:t>
      </w:r>
      <w:r w:rsidRPr="00E42EA9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E42EA9">
        <w:rPr>
          <w:rFonts w:ascii="Times New Roman" w:hAnsi="Times New Roman" w:cs="Times New Roman"/>
          <w:sz w:val="24"/>
          <w:szCs w:val="24"/>
        </w:rPr>
        <w:t>tno</w:t>
      </w:r>
      <w:r w:rsidR="00B14149" w:rsidRPr="00E42EA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="00B14149" w:rsidRPr="00E42EA9">
        <w:rPr>
          <w:rFonts w:ascii="Times New Roman" w:hAnsi="Times New Roman" w:cs="Times New Roman"/>
          <w:sz w:val="24"/>
          <w:szCs w:val="24"/>
        </w:rPr>
        <w:t xml:space="preserve">iznosu. </w:t>
      </w:r>
      <w:r w:rsidRPr="004A43DF">
        <w:rPr>
          <w:rFonts w:ascii="Times New Roman" w:hAnsi="Times New Roman" w:cs="Times New Roman"/>
          <w:sz w:val="24"/>
          <w:szCs w:val="24"/>
        </w:rPr>
        <w:t>Odnose se na financiranje polit</w:t>
      </w:r>
      <w:r w:rsidR="009858D6">
        <w:rPr>
          <w:rFonts w:ascii="Times New Roman" w:hAnsi="Times New Roman" w:cs="Times New Roman"/>
          <w:sz w:val="24"/>
          <w:szCs w:val="24"/>
        </w:rPr>
        <w:t xml:space="preserve">ičkih stranaka sukladno Odluci, </w:t>
      </w:r>
      <w:r w:rsidRPr="004A43DF">
        <w:rPr>
          <w:rFonts w:ascii="Times New Roman" w:hAnsi="Times New Roman" w:cs="Times New Roman"/>
          <w:sz w:val="24"/>
          <w:szCs w:val="24"/>
        </w:rPr>
        <w:t>donacije u obrazovanju, donacije ostalim korisnicima u kulturi (udruge), sportu, udrugama u tehničkoj kulturi, te u socijalno humanitarnim udrugama, ostalim programima i udrugama, tekuće</w:t>
      </w:r>
      <w:r w:rsidRPr="004A4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3DF">
        <w:rPr>
          <w:rFonts w:ascii="Times New Roman" w:hAnsi="Times New Roman" w:cs="Times New Roman"/>
          <w:sz w:val="24"/>
          <w:szCs w:val="24"/>
        </w:rPr>
        <w:t>donacije</w:t>
      </w:r>
      <w:r w:rsidRPr="004A4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3DF">
        <w:rPr>
          <w:rFonts w:ascii="Times New Roman" w:hAnsi="Times New Roman" w:cs="Times New Roman"/>
          <w:sz w:val="24"/>
          <w:szCs w:val="24"/>
        </w:rPr>
        <w:t>za</w:t>
      </w:r>
      <w:r w:rsidR="004234E8" w:rsidRPr="004A43DF">
        <w:rPr>
          <w:rFonts w:ascii="Times New Roman" w:hAnsi="Times New Roman" w:cs="Times New Roman"/>
          <w:sz w:val="24"/>
          <w:szCs w:val="24"/>
        </w:rPr>
        <w:t xml:space="preserve"> </w:t>
      </w:r>
      <w:r w:rsidR="00CF63CD" w:rsidRPr="004A43DF">
        <w:rPr>
          <w:rFonts w:ascii="Times New Roman" w:hAnsi="Times New Roman" w:cs="Times New Roman"/>
          <w:sz w:val="24"/>
          <w:szCs w:val="24"/>
        </w:rPr>
        <w:t>Područnu v</w:t>
      </w:r>
      <w:r w:rsidRPr="004A43DF">
        <w:rPr>
          <w:rFonts w:ascii="Times New Roman" w:hAnsi="Times New Roman" w:cs="Times New Roman"/>
          <w:sz w:val="24"/>
          <w:szCs w:val="24"/>
        </w:rPr>
        <w:t xml:space="preserve">atrogasnu </w:t>
      </w:r>
      <w:r w:rsidRPr="002F73C2">
        <w:rPr>
          <w:rFonts w:ascii="Times New Roman" w:hAnsi="Times New Roman" w:cs="Times New Roman"/>
          <w:sz w:val="24"/>
          <w:szCs w:val="24"/>
        </w:rPr>
        <w:t>zajednicu</w:t>
      </w:r>
      <w:r w:rsidR="00382668" w:rsidRPr="002F73C2">
        <w:rPr>
          <w:rFonts w:ascii="Times New Roman" w:hAnsi="Times New Roman" w:cs="Times New Roman"/>
          <w:sz w:val="24"/>
          <w:szCs w:val="24"/>
        </w:rPr>
        <w:t xml:space="preserve"> i civilnu zaštitu u nadležnosti lokalne samouprave</w:t>
      </w:r>
      <w:r w:rsidR="0008321C">
        <w:rPr>
          <w:rFonts w:ascii="Times New Roman" w:hAnsi="Times New Roman" w:cs="Times New Roman"/>
          <w:sz w:val="24"/>
          <w:szCs w:val="24"/>
        </w:rPr>
        <w:t xml:space="preserve"> kao i </w:t>
      </w:r>
      <w:r w:rsidR="009858D6">
        <w:rPr>
          <w:rFonts w:ascii="Times New Roman" w:hAnsi="Times New Roman" w:cs="Times New Roman"/>
          <w:sz w:val="24"/>
          <w:szCs w:val="24"/>
        </w:rPr>
        <w:t>na</w:t>
      </w:r>
      <w:r w:rsidR="00876ABB" w:rsidRPr="002F73C2">
        <w:rPr>
          <w:rFonts w:ascii="Times New Roman" w:hAnsi="Times New Roman" w:cs="Times New Roman"/>
          <w:sz w:val="24"/>
          <w:szCs w:val="24"/>
        </w:rPr>
        <w:t xml:space="preserve"> </w:t>
      </w:r>
      <w:r w:rsidRPr="002F73C2">
        <w:rPr>
          <w:rFonts w:ascii="Times New Roman" w:hAnsi="Times New Roman" w:cs="Times New Roman"/>
          <w:sz w:val="24"/>
          <w:szCs w:val="24"/>
        </w:rPr>
        <w:t>financiranje rada Sportske zajednice Grada Poreča</w:t>
      </w:r>
      <w:r w:rsidR="002E649B" w:rsidRPr="002F73C2">
        <w:rPr>
          <w:rFonts w:ascii="Times New Roman" w:hAnsi="Times New Roman" w:cs="Times New Roman"/>
          <w:sz w:val="24"/>
          <w:szCs w:val="24"/>
        </w:rPr>
        <w:t>-Parenzo</w:t>
      </w:r>
      <w:r w:rsidR="0008321C">
        <w:rPr>
          <w:rFonts w:ascii="Times New Roman" w:hAnsi="Times New Roman" w:cs="Times New Roman"/>
          <w:sz w:val="24"/>
          <w:szCs w:val="24"/>
        </w:rPr>
        <w:t>.</w:t>
      </w:r>
    </w:p>
    <w:p w14:paraId="043322B9" w14:textId="41BB4FBF" w:rsidR="004808EC" w:rsidRPr="002F73C2" w:rsidRDefault="004808EC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Kapitalne donacije realizirane su u iznosu od </w:t>
      </w:r>
      <w:r w:rsidR="001E64EF">
        <w:rPr>
          <w:rFonts w:ascii="Times New Roman" w:hAnsi="Times New Roman" w:cs="Times New Roman"/>
          <w:sz w:val="24"/>
          <w:szCs w:val="24"/>
        </w:rPr>
        <w:t>23.711,73</w:t>
      </w:r>
      <w:r>
        <w:rPr>
          <w:rFonts w:ascii="Times New Roman" w:hAnsi="Times New Roman" w:cs="Times New Roman"/>
          <w:sz w:val="24"/>
          <w:szCs w:val="24"/>
        </w:rPr>
        <w:t xml:space="preserve"> eura </w:t>
      </w:r>
      <w:r w:rsidR="00BB34F0">
        <w:rPr>
          <w:rFonts w:ascii="Times New Roman" w:hAnsi="Times New Roman" w:cs="Times New Roman"/>
          <w:sz w:val="24"/>
          <w:szCs w:val="24"/>
        </w:rPr>
        <w:t xml:space="preserve">kroz donacije građanima i </w:t>
      </w:r>
      <w:r w:rsidR="00BB34F0" w:rsidRPr="00B95871">
        <w:rPr>
          <w:rFonts w:ascii="Times New Roman" w:hAnsi="Times New Roman" w:cs="Times New Roman"/>
          <w:sz w:val="24"/>
          <w:szCs w:val="24"/>
        </w:rPr>
        <w:t xml:space="preserve">kućanstvima za </w:t>
      </w:r>
      <w:r w:rsidR="00B95871" w:rsidRPr="00B95871">
        <w:rPr>
          <w:rFonts w:ascii="Times New Roman" w:hAnsi="Times New Roman" w:cs="Times New Roman"/>
          <w:sz w:val="24"/>
          <w:szCs w:val="24"/>
        </w:rPr>
        <w:t>Program</w:t>
      </w:r>
      <w:r w:rsidR="00B95871">
        <w:rPr>
          <w:rFonts w:ascii="Times New Roman" w:hAnsi="Times New Roman" w:cs="Times New Roman"/>
          <w:sz w:val="24"/>
          <w:szCs w:val="24"/>
        </w:rPr>
        <w:t xml:space="preserve"> </w:t>
      </w:r>
      <w:r w:rsidR="00BB34F0">
        <w:rPr>
          <w:rFonts w:ascii="Times New Roman" w:hAnsi="Times New Roman" w:cs="Times New Roman"/>
          <w:sz w:val="24"/>
          <w:szCs w:val="24"/>
        </w:rPr>
        <w:t>Moj Poreč bez azbesta i Program obnove i zaštite kulturnih dobara</w:t>
      </w:r>
      <w:r w:rsidR="00B95871">
        <w:rPr>
          <w:rFonts w:ascii="Times New Roman" w:hAnsi="Times New Roman" w:cs="Times New Roman"/>
          <w:sz w:val="24"/>
          <w:szCs w:val="24"/>
        </w:rPr>
        <w:t>, te kroz sufinanciranje obnove župne crkve Sv Rok u Novoj Vasi.</w:t>
      </w:r>
    </w:p>
    <w:p w14:paraId="05B5FDB6" w14:textId="43C14DEF" w:rsidR="00714019" w:rsidRPr="009F2546" w:rsidRDefault="00FB0DA1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7B1788">
        <w:rPr>
          <w:rFonts w:ascii="Times New Roman" w:hAnsi="Times New Roman" w:cs="Times New Roman"/>
          <w:sz w:val="24"/>
          <w:szCs w:val="24"/>
        </w:rPr>
        <w:t xml:space="preserve">Kapitalne pomoći </w:t>
      </w:r>
      <w:r w:rsidR="003301C0" w:rsidRPr="007B1788">
        <w:rPr>
          <w:rFonts w:ascii="Times New Roman" w:hAnsi="Times New Roman" w:cs="Times New Roman"/>
          <w:sz w:val="24"/>
          <w:szCs w:val="24"/>
        </w:rPr>
        <w:t xml:space="preserve">realizirane su u visini od </w:t>
      </w:r>
      <w:r w:rsidR="00B95871" w:rsidRPr="007B1788">
        <w:rPr>
          <w:rFonts w:ascii="Times New Roman" w:hAnsi="Times New Roman" w:cs="Times New Roman"/>
          <w:sz w:val="24"/>
          <w:szCs w:val="24"/>
        </w:rPr>
        <w:t>477.786,79</w:t>
      </w:r>
      <w:r w:rsidR="00F6574B" w:rsidRPr="007B1788">
        <w:rPr>
          <w:rFonts w:ascii="Times New Roman" w:hAnsi="Times New Roman" w:cs="Times New Roman"/>
          <w:sz w:val="24"/>
          <w:szCs w:val="24"/>
        </w:rPr>
        <w:t xml:space="preserve"> eura</w:t>
      </w:r>
      <w:r w:rsidR="00EE5956" w:rsidRPr="007B1788">
        <w:rPr>
          <w:rFonts w:ascii="Times New Roman" w:hAnsi="Times New Roman" w:cs="Times New Roman"/>
          <w:sz w:val="24"/>
          <w:szCs w:val="24"/>
        </w:rPr>
        <w:t xml:space="preserve"> radi </w:t>
      </w:r>
      <w:r w:rsidRPr="007B1788">
        <w:rPr>
          <w:rFonts w:ascii="Times New Roman" w:hAnsi="Times New Roman" w:cs="Times New Roman"/>
          <w:sz w:val="24"/>
          <w:szCs w:val="24"/>
        </w:rPr>
        <w:t>otplat</w:t>
      </w:r>
      <w:r w:rsidR="00EE5956" w:rsidRPr="007B1788">
        <w:rPr>
          <w:rFonts w:ascii="Times New Roman" w:hAnsi="Times New Roman" w:cs="Times New Roman"/>
          <w:sz w:val="24"/>
          <w:szCs w:val="24"/>
        </w:rPr>
        <w:t>e</w:t>
      </w:r>
      <w:r w:rsidRPr="007B1788">
        <w:rPr>
          <w:rFonts w:ascii="Times New Roman" w:hAnsi="Times New Roman" w:cs="Times New Roman"/>
          <w:sz w:val="24"/>
          <w:szCs w:val="24"/>
        </w:rPr>
        <w:t xml:space="preserve"> </w:t>
      </w:r>
      <w:r w:rsidR="00EE5956" w:rsidRPr="007B1788">
        <w:rPr>
          <w:rFonts w:ascii="Times New Roman" w:hAnsi="Times New Roman" w:cs="Times New Roman"/>
          <w:sz w:val="24"/>
          <w:szCs w:val="24"/>
        </w:rPr>
        <w:t>g</w:t>
      </w:r>
      <w:r w:rsidR="003301C0" w:rsidRPr="007B1788">
        <w:rPr>
          <w:rFonts w:ascii="Times New Roman" w:hAnsi="Times New Roman" w:cs="Times New Roman"/>
          <w:sz w:val="24"/>
          <w:szCs w:val="24"/>
        </w:rPr>
        <w:t>lavnice kredita koje</w:t>
      </w:r>
      <w:r w:rsidR="004B0649" w:rsidRPr="007B1788">
        <w:rPr>
          <w:rFonts w:ascii="Times New Roman" w:hAnsi="Times New Roman" w:cs="Times New Roman"/>
          <w:sz w:val="24"/>
          <w:szCs w:val="24"/>
        </w:rPr>
        <w:t>g</w:t>
      </w:r>
      <w:r w:rsidR="003301C0" w:rsidRPr="007B1788">
        <w:rPr>
          <w:rFonts w:ascii="Times New Roman" w:hAnsi="Times New Roman" w:cs="Times New Roman"/>
          <w:sz w:val="24"/>
          <w:szCs w:val="24"/>
        </w:rPr>
        <w:t xml:space="preserve"> otplaćuje trgovačko društvo Parentium d.o.o. iskorištenog za izgradnju sportske dvorane </w:t>
      </w:r>
      <w:proofErr w:type="spellStart"/>
      <w:r w:rsidR="003301C0" w:rsidRPr="007B1788">
        <w:rPr>
          <w:rFonts w:ascii="Times New Roman" w:hAnsi="Times New Roman" w:cs="Times New Roman"/>
          <w:sz w:val="24"/>
          <w:szCs w:val="24"/>
        </w:rPr>
        <w:t>Žatika</w:t>
      </w:r>
      <w:proofErr w:type="spellEnd"/>
      <w:r w:rsidR="00B95871" w:rsidRPr="007B1788">
        <w:rPr>
          <w:rFonts w:ascii="Times New Roman" w:hAnsi="Times New Roman" w:cs="Times New Roman"/>
          <w:sz w:val="24"/>
          <w:szCs w:val="24"/>
        </w:rPr>
        <w:t xml:space="preserve"> te kroz prijenos sredstva TD Odvodnja Poreč </w:t>
      </w:r>
      <w:r w:rsidR="00C40125">
        <w:rPr>
          <w:rFonts w:ascii="Times New Roman" w:hAnsi="Times New Roman" w:cs="Times New Roman"/>
          <w:sz w:val="24"/>
          <w:szCs w:val="24"/>
        </w:rPr>
        <w:t xml:space="preserve">d.o.o., </w:t>
      </w:r>
      <w:r w:rsidR="00B95871" w:rsidRPr="007B1788">
        <w:rPr>
          <w:rFonts w:ascii="Times New Roman" w:hAnsi="Times New Roman" w:cs="Times New Roman"/>
          <w:sz w:val="24"/>
          <w:szCs w:val="24"/>
        </w:rPr>
        <w:t>namijenjenim sufinanciranju sustava odvodnje s uređajima za pročišćavanje otpadnih voda temeljem Ugovora sklopljenog između trgovačkog društva i Ministarstva regionalnog razvoja.</w:t>
      </w:r>
      <w:r w:rsidR="00FB69C9" w:rsidRPr="009B3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2E07F" w14:textId="00686598" w:rsidR="00C408AA" w:rsidRPr="00714019" w:rsidRDefault="002E67D1" w:rsidP="002E67D1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714019">
        <w:rPr>
          <w:rFonts w:ascii="Times New Roman" w:hAnsi="Times New Roman" w:cs="Times New Roman"/>
          <w:b/>
          <w:sz w:val="24"/>
          <w:szCs w:val="24"/>
        </w:rPr>
        <w:t>4.8.</w:t>
      </w:r>
      <w:r w:rsidR="00A32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C46" w:rsidRPr="00714019">
        <w:rPr>
          <w:rFonts w:ascii="Times New Roman" w:hAnsi="Times New Roman" w:cs="Times New Roman"/>
          <w:b/>
          <w:sz w:val="24"/>
          <w:szCs w:val="24"/>
        </w:rPr>
        <w:t>RASHODI ZA NABAVU NEFINANCIJSKE  IMOVINE</w:t>
      </w:r>
    </w:p>
    <w:p w14:paraId="01FB3684" w14:textId="60E40749" w:rsidR="00D15F58" w:rsidRPr="00714019" w:rsidRDefault="003301C0" w:rsidP="00D15F58">
      <w:pPr>
        <w:jc w:val="both"/>
        <w:rPr>
          <w:rFonts w:ascii="Times New Roman" w:hAnsi="Times New Roman" w:cs="Times New Roman"/>
          <w:sz w:val="24"/>
        </w:rPr>
      </w:pPr>
      <w:r w:rsidRPr="00714019">
        <w:rPr>
          <w:rFonts w:ascii="Times New Roman" w:hAnsi="Times New Roman" w:cs="Times New Roman"/>
          <w:sz w:val="24"/>
          <w:lang w:val="es-ES"/>
        </w:rPr>
        <w:t>Kapitalni rashodi ostvareni</w:t>
      </w:r>
      <w:r w:rsidRPr="00714019">
        <w:rPr>
          <w:rFonts w:ascii="Times New Roman" w:hAnsi="Times New Roman" w:cs="Times New Roman"/>
          <w:sz w:val="24"/>
        </w:rPr>
        <w:t xml:space="preserve"> </w:t>
      </w:r>
      <w:r w:rsidRPr="00714019">
        <w:rPr>
          <w:rFonts w:ascii="Times New Roman" w:hAnsi="Times New Roman" w:cs="Times New Roman"/>
          <w:sz w:val="24"/>
          <w:lang w:val="es-ES"/>
        </w:rPr>
        <w:t>su</w:t>
      </w:r>
      <w:r w:rsidRPr="00714019">
        <w:rPr>
          <w:rFonts w:ascii="Times New Roman" w:hAnsi="Times New Roman" w:cs="Times New Roman"/>
          <w:sz w:val="24"/>
        </w:rPr>
        <w:t xml:space="preserve"> </w:t>
      </w:r>
      <w:r w:rsidRPr="00714019">
        <w:rPr>
          <w:rFonts w:ascii="Times New Roman" w:hAnsi="Times New Roman" w:cs="Times New Roman"/>
          <w:sz w:val="24"/>
          <w:lang w:val="es-ES"/>
        </w:rPr>
        <w:t>u</w:t>
      </w:r>
      <w:r w:rsidRPr="00714019">
        <w:rPr>
          <w:rFonts w:ascii="Times New Roman" w:hAnsi="Times New Roman" w:cs="Times New Roman"/>
          <w:sz w:val="24"/>
        </w:rPr>
        <w:t xml:space="preserve"> </w:t>
      </w:r>
      <w:r w:rsidRPr="00714019">
        <w:rPr>
          <w:rFonts w:ascii="Times New Roman" w:hAnsi="Times New Roman" w:cs="Times New Roman"/>
          <w:sz w:val="24"/>
          <w:lang w:val="es-ES"/>
        </w:rPr>
        <w:t>iznosu</w:t>
      </w:r>
      <w:r w:rsidRPr="00714019">
        <w:rPr>
          <w:rFonts w:ascii="Times New Roman" w:hAnsi="Times New Roman" w:cs="Times New Roman"/>
          <w:sz w:val="24"/>
        </w:rPr>
        <w:t xml:space="preserve"> </w:t>
      </w:r>
      <w:r w:rsidRPr="00714019">
        <w:rPr>
          <w:rFonts w:ascii="Times New Roman" w:hAnsi="Times New Roman" w:cs="Times New Roman"/>
          <w:sz w:val="24"/>
          <w:lang w:val="es-ES"/>
        </w:rPr>
        <w:t>od</w:t>
      </w:r>
      <w:r w:rsidR="008047DD">
        <w:rPr>
          <w:rFonts w:ascii="Times New Roman" w:hAnsi="Times New Roman" w:cs="Times New Roman"/>
          <w:sz w:val="24"/>
          <w:lang w:val="es-ES"/>
        </w:rPr>
        <w:t xml:space="preserve"> </w:t>
      </w:r>
      <w:r w:rsidR="007B1788">
        <w:rPr>
          <w:rFonts w:ascii="Times New Roman" w:hAnsi="Times New Roman" w:cs="Times New Roman"/>
          <w:sz w:val="24"/>
          <w:lang w:val="es-ES"/>
        </w:rPr>
        <w:t>4.096.194,55</w:t>
      </w:r>
      <w:r w:rsidR="008047DD">
        <w:rPr>
          <w:rFonts w:ascii="Times New Roman" w:hAnsi="Times New Roman" w:cs="Times New Roman"/>
          <w:sz w:val="24"/>
          <w:lang w:val="es-ES"/>
        </w:rPr>
        <w:t xml:space="preserve"> eura čime </w:t>
      </w:r>
      <w:r w:rsidR="000A55FB" w:rsidRPr="00714019">
        <w:rPr>
          <w:rFonts w:ascii="Times New Roman" w:hAnsi="Times New Roman" w:cs="Times New Roman"/>
          <w:sz w:val="24"/>
        </w:rPr>
        <w:t xml:space="preserve"> je do 30. lipnja ostvareno </w:t>
      </w:r>
      <w:r w:rsidR="00A04818">
        <w:rPr>
          <w:rFonts w:ascii="Times New Roman" w:hAnsi="Times New Roman" w:cs="Times New Roman"/>
          <w:sz w:val="24"/>
        </w:rPr>
        <w:t>1</w:t>
      </w:r>
      <w:r w:rsidR="008047DD">
        <w:rPr>
          <w:rFonts w:ascii="Times New Roman" w:hAnsi="Times New Roman" w:cs="Times New Roman"/>
          <w:sz w:val="24"/>
        </w:rPr>
        <w:t>3</w:t>
      </w:r>
      <w:r w:rsidR="000A55FB" w:rsidRPr="00714019">
        <w:rPr>
          <w:rFonts w:ascii="Times New Roman" w:hAnsi="Times New Roman" w:cs="Times New Roman"/>
          <w:sz w:val="24"/>
        </w:rPr>
        <w:t xml:space="preserve"> % </w:t>
      </w:r>
      <w:r w:rsidR="008B05AC" w:rsidRPr="00714019">
        <w:rPr>
          <w:rFonts w:ascii="Times New Roman" w:hAnsi="Times New Roman" w:cs="Times New Roman"/>
          <w:sz w:val="24"/>
        </w:rPr>
        <w:t>Plana za 20</w:t>
      </w:r>
      <w:r w:rsidR="003724E8" w:rsidRPr="00714019">
        <w:rPr>
          <w:rFonts w:ascii="Times New Roman" w:hAnsi="Times New Roman" w:cs="Times New Roman"/>
          <w:sz w:val="24"/>
        </w:rPr>
        <w:t>2</w:t>
      </w:r>
      <w:r w:rsidR="007B1788">
        <w:rPr>
          <w:rFonts w:ascii="Times New Roman" w:hAnsi="Times New Roman" w:cs="Times New Roman"/>
          <w:sz w:val="24"/>
        </w:rPr>
        <w:t>4</w:t>
      </w:r>
      <w:r w:rsidR="008B05AC" w:rsidRPr="00714019">
        <w:rPr>
          <w:rFonts w:ascii="Times New Roman" w:hAnsi="Times New Roman" w:cs="Times New Roman"/>
          <w:sz w:val="24"/>
        </w:rPr>
        <w:t>. godinu.</w:t>
      </w:r>
    </w:p>
    <w:p w14:paraId="790AC6E7" w14:textId="650BCF42" w:rsidR="006E2728" w:rsidRDefault="003301C0" w:rsidP="00D15F58">
      <w:pPr>
        <w:jc w:val="both"/>
        <w:rPr>
          <w:rFonts w:ascii="Times New Roman" w:hAnsi="Times New Roman" w:cs="Times New Roman"/>
          <w:sz w:val="24"/>
          <w:lang w:val="es-ES"/>
        </w:rPr>
      </w:pPr>
      <w:r w:rsidRPr="006D02FC">
        <w:rPr>
          <w:rFonts w:ascii="Times New Roman" w:hAnsi="Times New Roman" w:cs="Times New Roman"/>
          <w:sz w:val="24"/>
          <w:lang w:val="es-ES"/>
        </w:rPr>
        <w:lastRenderedPageBreak/>
        <w:t xml:space="preserve">Rashodi za nabavu neproizvedene </w:t>
      </w:r>
      <w:r w:rsidRPr="002F73C2">
        <w:rPr>
          <w:rFonts w:ascii="Times New Roman" w:hAnsi="Times New Roman" w:cs="Times New Roman"/>
          <w:sz w:val="24"/>
          <w:lang w:val="es-ES"/>
        </w:rPr>
        <w:t xml:space="preserve">dugotrajne imovine su realizirani u iznosu od </w:t>
      </w:r>
      <w:r w:rsidR="007B1788">
        <w:rPr>
          <w:rFonts w:ascii="Times New Roman" w:hAnsi="Times New Roman" w:cs="Times New Roman"/>
          <w:sz w:val="24"/>
          <w:lang w:val="es-ES"/>
        </w:rPr>
        <w:t>1.041.702,80</w:t>
      </w:r>
      <w:r w:rsidR="008047DD">
        <w:rPr>
          <w:rFonts w:ascii="Times New Roman" w:hAnsi="Times New Roman" w:cs="Times New Roman"/>
          <w:sz w:val="24"/>
          <w:lang w:val="es-ES"/>
        </w:rPr>
        <w:t xml:space="preserve"> eura</w:t>
      </w:r>
      <w:r w:rsidRPr="002F73C2">
        <w:rPr>
          <w:rFonts w:ascii="Times New Roman" w:hAnsi="Times New Roman" w:cs="Times New Roman"/>
          <w:sz w:val="24"/>
          <w:lang w:val="es-ES"/>
        </w:rPr>
        <w:t xml:space="preserve">, </w:t>
      </w:r>
      <w:r w:rsidR="008B05AC" w:rsidRPr="002F73C2">
        <w:rPr>
          <w:rFonts w:ascii="Times New Roman" w:hAnsi="Times New Roman" w:cs="Times New Roman"/>
          <w:sz w:val="24"/>
          <w:lang w:val="es-ES"/>
        </w:rPr>
        <w:t xml:space="preserve">a </w:t>
      </w:r>
      <w:r w:rsidRPr="002F73C2">
        <w:rPr>
          <w:rFonts w:ascii="Times New Roman" w:hAnsi="Times New Roman" w:cs="Times New Roman"/>
          <w:sz w:val="24"/>
          <w:lang w:val="es-ES"/>
        </w:rPr>
        <w:t xml:space="preserve">odnose </w:t>
      </w:r>
      <w:r w:rsidR="008B05AC" w:rsidRPr="002F73C2">
        <w:rPr>
          <w:rFonts w:ascii="Times New Roman" w:hAnsi="Times New Roman" w:cs="Times New Roman"/>
          <w:sz w:val="24"/>
          <w:lang w:val="es-ES"/>
        </w:rPr>
        <w:t xml:space="preserve">se </w:t>
      </w:r>
      <w:r w:rsidRPr="002F73C2">
        <w:rPr>
          <w:rFonts w:ascii="Times New Roman" w:hAnsi="Times New Roman" w:cs="Times New Roman"/>
          <w:sz w:val="24"/>
          <w:lang w:val="es-ES"/>
        </w:rPr>
        <w:t>na</w:t>
      </w:r>
      <w:r w:rsid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DF2EA3">
        <w:rPr>
          <w:rFonts w:ascii="Times New Roman" w:hAnsi="Times New Roman" w:cs="Times New Roman"/>
          <w:sz w:val="24"/>
          <w:lang w:val="es-ES"/>
        </w:rPr>
        <w:t xml:space="preserve">isplaćene </w:t>
      </w:r>
      <w:r w:rsidR="00AC4821" w:rsidRPr="002F73C2">
        <w:rPr>
          <w:rFonts w:ascii="Times New Roman" w:hAnsi="Times New Roman" w:cs="Times New Roman"/>
          <w:sz w:val="24"/>
          <w:lang w:val="es-ES"/>
        </w:rPr>
        <w:t>naknad</w:t>
      </w:r>
      <w:r w:rsidR="00B56048">
        <w:rPr>
          <w:rFonts w:ascii="Times New Roman" w:hAnsi="Times New Roman" w:cs="Times New Roman"/>
          <w:sz w:val="24"/>
          <w:lang w:val="es-ES"/>
        </w:rPr>
        <w:t>e</w:t>
      </w:r>
      <w:r w:rsidR="00AC4821" w:rsidRPr="002F73C2">
        <w:rPr>
          <w:rFonts w:ascii="Times New Roman" w:hAnsi="Times New Roman" w:cs="Times New Roman"/>
          <w:sz w:val="24"/>
          <w:lang w:val="es-ES"/>
        </w:rPr>
        <w:t xml:space="preserve"> za prijenos </w:t>
      </w:r>
      <w:r w:rsidR="008B05AC" w:rsidRPr="002F73C2">
        <w:rPr>
          <w:rFonts w:ascii="Times New Roman" w:hAnsi="Times New Roman" w:cs="Times New Roman"/>
          <w:sz w:val="24"/>
          <w:lang w:val="es-ES"/>
        </w:rPr>
        <w:t>građevinskog zemljišta</w:t>
      </w:r>
      <w:r w:rsidR="007870D5" w:rsidRPr="002F73C2">
        <w:rPr>
          <w:rFonts w:ascii="Times New Roman" w:hAnsi="Times New Roman" w:cs="Times New Roman"/>
          <w:sz w:val="24"/>
          <w:lang w:val="es-ES"/>
        </w:rPr>
        <w:t xml:space="preserve"> te na </w:t>
      </w:r>
      <w:r w:rsidR="006E2728">
        <w:rPr>
          <w:rFonts w:ascii="Times New Roman" w:hAnsi="Times New Roman" w:cs="Times New Roman"/>
          <w:sz w:val="24"/>
          <w:lang w:val="es-ES"/>
        </w:rPr>
        <w:t>realizaciju Ugovora o nazadkupnji sklopljenim s trgovačkim društvom Špina d.o.o..</w:t>
      </w:r>
    </w:p>
    <w:p w14:paraId="68967041" w14:textId="12E7A8D4" w:rsidR="00CA1EF5" w:rsidRDefault="003301C0" w:rsidP="00D15F58">
      <w:pPr>
        <w:jc w:val="both"/>
        <w:rPr>
          <w:rFonts w:ascii="Times New Roman" w:hAnsi="Times New Roman" w:cs="Times New Roman"/>
          <w:sz w:val="24"/>
          <w:lang w:val="es-ES"/>
        </w:rPr>
      </w:pPr>
      <w:r w:rsidRPr="00B56048">
        <w:rPr>
          <w:rFonts w:ascii="Times New Roman" w:hAnsi="Times New Roman" w:cs="Times New Roman"/>
          <w:sz w:val="24"/>
          <w:lang w:val="es-ES"/>
        </w:rPr>
        <w:t xml:space="preserve">Rashodi za nabavu proizvedene dugotrajne imovine su realizirani u iznosu od </w:t>
      </w:r>
      <w:r w:rsidR="006E2728">
        <w:rPr>
          <w:rFonts w:ascii="Times New Roman" w:hAnsi="Times New Roman" w:cs="Times New Roman"/>
          <w:sz w:val="24"/>
          <w:lang w:val="es-ES"/>
        </w:rPr>
        <w:t>2.836.485,62</w:t>
      </w:r>
      <w:r w:rsidR="008047DD">
        <w:rPr>
          <w:rFonts w:ascii="Times New Roman" w:hAnsi="Times New Roman" w:cs="Times New Roman"/>
          <w:sz w:val="24"/>
          <w:lang w:val="es-ES"/>
        </w:rPr>
        <w:t xml:space="preserve"> eura</w:t>
      </w:r>
      <w:r w:rsidR="00D43A6A" w:rsidRP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CA1EF5">
        <w:rPr>
          <w:rFonts w:ascii="Times New Roman" w:hAnsi="Times New Roman" w:cs="Times New Roman"/>
          <w:sz w:val="24"/>
          <w:lang w:val="es-ES"/>
        </w:rPr>
        <w:t>i</w:t>
      </w:r>
      <w:r w:rsidRP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FB5D54">
        <w:rPr>
          <w:rFonts w:ascii="Times New Roman" w:hAnsi="Times New Roman" w:cs="Times New Roman"/>
          <w:sz w:val="24"/>
          <w:lang w:val="es-ES"/>
        </w:rPr>
        <w:t xml:space="preserve">najvećim se dijelom odnose na izgradnju dječjih vrtića u </w:t>
      </w:r>
      <w:r w:rsidR="00C40125">
        <w:rPr>
          <w:rFonts w:ascii="Times New Roman" w:hAnsi="Times New Roman" w:cs="Times New Roman"/>
          <w:sz w:val="24"/>
          <w:lang w:val="es-ES"/>
        </w:rPr>
        <w:t>V</w:t>
      </w:r>
      <w:r w:rsidR="00FB5D54">
        <w:rPr>
          <w:rFonts w:ascii="Times New Roman" w:hAnsi="Times New Roman" w:cs="Times New Roman"/>
          <w:sz w:val="24"/>
          <w:lang w:val="es-ES"/>
        </w:rPr>
        <w:t xml:space="preserve">arvarima i Novoj Vasi. Obuhvaćaju i rashode vezane uz </w:t>
      </w:r>
      <w:r w:rsidR="003F6283" w:rsidRP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AC4821" w:rsidRPr="00B56048">
        <w:rPr>
          <w:rFonts w:ascii="Times New Roman" w:hAnsi="Times New Roman" w:cs="Times New Roman"/>
          <w:sz w:val="24"/>
          <w:lang w:val="es-ES"/>
        </w:rPr>
        <w:t>asfa</w:t>
      </w:r>
      <w:r w:rsidR="000967A2" w:rsidRPr="00B56048">
        <w:rPr>
          <w:rFonts w:ascii="Times New Roman" w:hAnsi="Times New Roman" w:cs="Times New Roman"/>
          <w:sz w:val="24"/>
          <w:lang w:val="es-ES"/>
        </w:rPr>
        <w:t>l</w:t>
      </w:r>
      <w:r w:rsidR="003D516D" w:rsidRPr="00B56048">
        <w:rPr>
          <w:rFonts w:ascii="Times New Roman" w:hAnsi="Times New Roman" w:cs="Times New Roman"/>
          <w:sz w:val="24"/>
          <w:lang w:val="es-ES"/>
        </w:rPr>
        <w:t>terske radove</w:t>
      </w:r>
      <w:r w:rsidR="00AC4821" w:rsidRPr="00B56048">
        <w:rPr>
          <w:rFonts w:ascii="Times New Roman" w:hAnsi="Times New Roman" w:cs="Times New Roman"/>
          <w:sz w:val="24"/>
          <w:lang w:val="es-ES"/>
        </w:rPr>
        <w:t xml:space="preserve"> odnosno izgradnju </w:t>
      </w:r>
      <w:r w:rsidR="00C60F67" w:rsidRPr="00B56048">
        <w:rPr>
          <w:rFonts w:ascii="Times New Roman" w:hAnsi="Times New Roman" w:cs="Times New Roman"/>
          <w:sz w:val="24"/>
          <w:lang w:val="es-ES"/>
        </w:rPr>
        <w:t>prometne infrastrukture,</w:t>
      </w:r>
      <w:r w:rsidR="003F6283" w:rsidRPr="00B56048">
        <w:rPr>
          <w:rFonts w:ascii="Times New Roman" w:hAnsi="Times New Roman" w:cs="Times New Roman"/>
          <w:sz w:val="24"/>
          <w:lang w:val="es-ES"/>
        </w:rPr>
        <w:t xml:space="preserve"> uređenje gradskih plaža,</w:t>
      </w:r>
      <w:r w:rsidR="00C60F67" w:rsidRP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B56048" w:rsidRPr="00B56048">
        <w:rPr>
          <w:rFonts w:ascii="Times New Roman" w:hAnsi="Times New Roman" w:cs="Times New Roman"/>
          <w:sz w:val="24"/>
          <w:lang w:val="es-ES"/>
        </w:rPr>
        <w:t>izgradnju oborinske</w:t>
      </w:r>
      <w:r w:rsidR="003F6283" w:rsidRPr="00B56048">
        <w:rPr>
          <w:rFonts w:ascii="Times New Roman" w:hAnsi="Times New Roman" w:cs="Times New Roman"/>
          <w:sz w:val="24"/>
          <w:lang w:val="es-ES"/>
        </w:rPr>
        <w:t xml:space="preserve"> kanalizacij</w:t>
      </w:r>
      <w:r w:rsidR="00B56048" w:rsidRPr="00B56048">
        <w:rPr>
          <w:rFonts w:ascii="Times New Roman" w:hAnsi="Times New Roman" w:cs="Times New Roman"/>
          <w:sz w:val="24"/>
          <w:lang w:val="es-ES"/>
        </w:rPr>
        <w:t>e</w:t>
      </w:r>
      <w:r w:rsidR="003F6283" w:rsidRPr="00B56048">
        <w:rPr>
          <w:rFonts w:ascii="Times New Roman" w:hAnsi="Times New Roman" w:cs="Times New Roman"/>
          <w:sz w:val="24"/>
          <w:lang w:val="es-ES"/>
        </w:rPr>
        <w:t xml:space="preserve"> na više lokacija, </w:t>
      </w:r>
      <w:r w:rsidR="00FB5D54">
        <w:rPr>
          <w:rFonts w:ascii="Times New Roman" w:hAnsi="Times New Roman" w:cs="Times New Roman"/>
          <w:sz w:val="24"/>
          <w:lang w:val="es-ES"/>
        </w:rPr>
        <w:t xml:space="preserve">te </w:t>
      </w:r>
      <w:r w:rsidRPr="00B56048">
        <w:rPr>
          <w:rFonts w:ascii="Times New Roman" w:hAnsi="Times New Roman" w:cs="Times New Roman"/>
          <w:sz w:val="24"/>
          <w:lang w:val="es-ES"/>
        </w:rPr>
        <w:t>na rashode za nabavu uredske, komunikacijske i ostale opreme</w:t>
      </w:r>
      <w:r w:rsidR="00647F7A" w:rsidRPr="00B56048">
        <w:rPr>
          <w:rFonts w:ascii="Times New Roman" w:hAnsi="Times New Roman" w:cs="Times New Roman"/>
          <w:sz w:val="24"/>
          <w:lang w:val="es-ES"/>
        </w:rPr>
        <w:t xml:space="preserve"> u upravnim tijelim grada i </w:t>
      </w:r>
      <w:r w:rsidR="00CA1EF5">
        <w:rPr>
          <w:rFonts w:ascii="Times New Roman" w:hAnsi="Times New Roman" w:cs="Times New Roman"/>
          <w:sz w:val="24"/>
          <w:lang w:val="es-ES"/>
        </w:rPr>
        <w:t xml:space="preserve">kod </w:t>
      </w:r>
      <w:r w:rsidR="00647F7A" w:rsidRPr="00B56048">
        <w:rPr>
          <w:rFonts w:ascii="Times New Roman" w:hAnsi="Times New Roman" w:cs="Times New Roman"/>
          <w:sz w:val="24"/>
          <w:lang w:val="es-ES"/>
        </w:rPr>
        <w:t>proračunskih korisnika</w:t>
      </w:r>
      <w:r w:rsidR="00FB5D54">
        <w:rPr>
          <w:rFonts w:ascii="Times New Roman" w:hAnsi="Times New Roman" w:cs="Times New Roman"/>
          <w:sz w:val="24"/>
          <w:lang w:val="es-ES"/>
        </w:rPr>
        <w:t>.</w:t>
      </w:r>
    </w:p>
    <w:p w14:paraId="30DC4C47" w14:textId="4AB7E636" w:rsidR="00387A2F" w:rsidRDefault="00AD5916" w:rsidP="00A613A3">
      <w:pPr>
        <w:jc w:val="both"/>
        <w:rPr>
          <w:rFonts w:ascii="Times New Roman" w:hAnsi="Times New Roman" w:cs="Times New Roman"/>
          <w:sz w:val="24"/>
          <w:lang w:val="es-ES"/>
        </w:rPr>
      </w:pPr>
      <w:r w:rsidRPr="002F73C2">
        <w:rPr>
          <w:rFonts w:ascii="Times New Roman" w:hAnsi="Times New Roman" w:cs="Times New Roman"/>
          <w:sz w:val="24"/>
          <w:lang w:val="es-ES"/>
        </w:rPr>
        <w:t xml:space="preserve">Rashodi za dodatna ulaganja na nefinancijskoj imovini realizirani su u iznosu od </w:t>
      </w:r>
      <w:r w:rsidR="00FB5D54">
        <w:rPr>
          <w:rFonts w:ascii="Times New Roman" w:hAnsi="Times New Roman" w:cs="Times New Roman"/>
          <w:sz w:val="24"/>
          <w:lang w:val="es-ES"/>
        </w:rPr>
        <w:t>218.006,13</w:t>
      </w:r>
      <w:r w:rsidR="008047DD">
        <w:rPr>
          <w:rFonts w:ascii="Times New Roman" w:hAnsi="Times New Roman" w:cs="Times New Roman"/>
          <w:sz w:val="24"/>
          <w:lang w:val="es-ES"/>
        </w:rPr>
        <w:t xml:space="preserve"> eura</w:t>
      </w:r>
      <w:r w:rsidRPr="002F73C2">
        <w:rPr>
          <w:rFonts w:ascii="Times New Roman" w:hAnsi="Times New Roman" w:cs="Times New Roman"/>
          <w:sz w:val="24"/>
          <w:lang w:val="es-ES"/>
        </w:rPr>
        <w:t xml:space="preserve"> i najvećim dijelom </w:t>
      </w:r>
      <w:r w:rsidR="00B27484" w:rsidRPr="002F73C2">
        <w:rPr>
          <w:rFonts w:ascii="Times New Roman" w:hAnsi="Times New Roman" w:cs="Times New Roman"/>
          <w:sz w:val="24"/>
          <w:lang w:val="es-ES"/>
        </w:rPr>
        <w:t>odnose se</w:t>
      </w:r>
      <w:r w:rsidR="00FB5D54">
        <w:rPr>
          <w:rFonts w:ascii="Times New Roman" w:hAnsi="Times New Roman" w:cs="Times New Roman"/>
          <w:sz w:val="24"/>
          <w:lang w:val="es-ES"/>
        </w:rPr>
        <w:t xml:space="preserve"> na izvršena ulaganja Romaničku kuću, te adaptaciju poslovnih prostora u vlasništvu Grada.</w:t>
      </w:r>
      <w:r w:rsidR="00A32EC2">
        <w:rPr>
          <w:rFonts w:ascii="Times New Roman" w:hAnsi="Times New Roman" w:cs="Times New Roman"/>
          <w:sz w:val="24"/>
          <w:lang w:val="es-ES"/>
        </w:rPr>
        <w:t xml:space="preserve">        </w:t>
      </w:r>
    </w:p>
    <w:p w14:paraId="0F9282A5" w14:textId="5A094657" w:rsidR="00AD5916" w:rsidRPr="009F2546" w:rsidRDefault="00A32EC2" w:rsidP="00A613A3">
      <w:pPr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 </w:t>
      </w:r>
      <w:r w:rsidR="009F2546">
        <w:rPr>
          <w:rFonts w:ascii="Times New Roman" w:hAnsi="Times New Roman" w:cs="Times New Roman"/>
          <w:color w:val="4F81BD" w:themeColor="accent1"/>
          <w:sz w:val="24"/>
          <w:lang w:val="es-ES"/>
        </w:rPr>
        <w:t xml:space="preserve">         </w:t>
      </w:r>
    </w:p>
    <w:p w14:paraId="66F6F046" w14:textId="7357438C" w:rsidR="0058298E" w:rsidRPr="009F2546" w:rsidRDefault="00D15F58" w:rsidP="009F25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0E1D">
        <w:rPr>
          <w:rFonts w:ascii="Times New Roman" w:hAnsi="Times New Roman" w:cs="Times New Roman"/>
          <w:b/>
          <w:sz w:val="28"/>
          <w:szCs w:val="28"/>
        </w:rPr>
        <w:t>RAČUN ZADUŽIVANJA/FINANCIRANJA</w:t>
      </w:r>
    </w:p>
    <w:p w14:paraId="25C12EDE" w14:textId="3080256C" w:rsidR="00C714B2" w:rsidRDefault="00D15F5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30E1D">
        <w:rPr>
          <w:rFonts w:ascii="Times New Roman" w:hAnsi="Times New Roman" w:cs="Times New Roman"/>
          <w:sz w:val="24"/>
          <w:szCs w:val="24"/>
        </w:rPr>
        <w:t>Primici od financijske imovine i zaduživanja</w:t>
      </w:r>
      <w:r w:rsidR="00C714B2" w:rsidRPr="00530E1D">
        <w:rPr>
          <w:rFonts w:ascii="Times New Roman" w:hAnsi="Times New Roman" w:cs="Times New Roman"/>
          <w:sz w:val="24"/>
          <w:szCs w:val="24"/>
        </w:rPr>
        <w:t xml:space="preserve"> u </w:t>
      </w:r>
      <w:r w:rsidR="00A572A2" w:rsidRPr="00530E1D">
        <w:rPr>
          <w:rFonts w:ascii="Times New Roman" w:hAnsi="Times New Roman" w:cs="Times New Roman"/>
          <w:sz w:val="24"/>
          <w:szCs w:val="24"/>
        </w:rPr>
        <w:t>promatranom izvještajnom periodu</w:t>
      </w:r>
      <w:r w:rsidR="00815A8F" w:rsidRPr="00530E1D">
        <w:rPr>
          <w:rFonts w:ascii="Times New Roman" w:hAnsi="Times New Roman" w:cs="Times New Roman"/>
          <w:sz w:val="24"/>
          <w:szCs w:val="24"/>
        </w:rPr>
        <w:t xml:space="preserve"> </w:t>
      </w:r>
      <w:r w:rsidR="00514330">
        <w:rPr>
          <w:rFonts w:ascii="Times New Roman" w:hAnsi="Times New Roman" w:cs="Times New Roman"/>
          <w:sz w:val="24"/>
          <w:szCs w:val="24"/>
        </w:rPr>
        <w:t>realizirani</w:t>
      </w:r>
      <w:r w:rsidR="00FB5D54">
        <w:rPr>
          <w:rFonts w:ascii="Times New Roman" w:hAnsi="Times New Roman" w:cs="Times New Roman"/>
          <w:sz w:val="24"/>
          <w:szCs w:val="24"/>
        </w:rPr>
        <w:t xml:space="preserve"> su u iznosu od 427.135,18 te je time u cijelosti realiziran kredit ugovoren s HBOR-om i namijenjen II fazi modernizacije javne rasvjete. I</w:t>
      </w:r>
      <w:r w:rsidR="007A0FCD" w:rsidRPr="00053A48">
        <w:rPr>
          <w:rFonts w:ascii="Times New Roman" w:hAnsi="Times New Roman" w:cs="Times New Roman"/>
          <w:sz w:val="24"/>
          <w:szCs w:val="24"/>
        </w:rPr>
        <w:t xml:space="preserve">zdaci za </w:t>
      </w:r>
      <w:r w:rsidR="00653752" w:rsidRPr="00053A48">
        <w:rPr>
          <w:rFonts w:ascii="Times New Roman" w:hAnsi="Times New Roman" w:cs="Times New Roman"/>
          <w:sz w:val="24"/>
          <w:szCs w:val="24"/>
        </w:rPr>
        <w:t xml:space="preserve">financijsku imovinu i otplate zajmova </w:t>
      </w:r>
      <w:r w:rsidR="002E67D1" w:rsidRPr="00053A48">
        <w:rPr>
          <w:rFonts w:ascii="Times New Roman" w:hAnsi="Times New Roman" w:cs="Times New Roman"/>
          <w:sz w:val="24"/>
          <w:szCs w:val="24"/>
        </w:rPr>
        <w:t>realizira</w:t>
      </w:r>
      <w:r w:rsidR="00C714B2" w:rsidRPr="00053A48">
        <w:rPr>
          <w:rFonts w:ascii="Times New Roman" w:hAnsi="Times New Roman" w:cs="Times New Roman"/>
          <w:sz w:val="24"/>
          <w:szCs w:val="24"/>
        </w:rPr>
        <w:t xml:space="preserve">ni u iznosu od </w:t>
      </w:r>
      <w:r w:rsidR="00FB5D54">
        <w:rPr>
          <w:rFonts w:ascii="Times New Roman" w:hAnsi="Times New Roman" w:cs="Times New Roman"/>
          <w:sz w:val="24"/>
          <w:szCs w:val="24"/>
        </w:rPr>
        <w:t>516.145,16</w:t>
      </w:r>
      <w:r w:rsidR="00C52398">
        <w:rPr>
          <w:rFonts w:ascii="Times New Roman" w:hAnsi="Times New Roman" w:cs="Times New Roman"/>
          <w:sz w:val="24"/>
          <w:szCs w:val="24"/>
        </w:rPr>
        <w:t xml:space="preserve"> eura</w:t>
      </w:r>
      <w:r w:rsidR="00A572A2" w:rsidRPr="00053A48">
        <w:rPr>
          <w:rFonts w:ascii="Times New Roman" w:hAnsi="Times New Roman" w:cs="Times New Roman"/>
          <w:sz w:val="24"/>
          <w:szCs w:val="24"/>
        </w:rPr>
        <w:t xml:space="preserve"> </w:t>
      </w:r>
      <w:r w:rsidR="00C714B2" w:rsidRPr="00053A48">
        <w:rPr>
          <w:rFonts w:ascii="Times New Roman" w:hAnsi="Times New Roman" w:cs="Times New Roman"/>
          <w:sz w:val="24"/>
          <w:szCs w:val="24"/>
        </w:rPr>
        <w:t>kuna</w:t>
      </w:r>
      <w:r w:rsidR="00514330">
        <w:rPr>
          <w:rFonts w:ascii="Times New Roman" w:hAnsi="Times New Roman" w:cs="Times New Roman"/>
          <w:sz w:val="24"/>
          <w:szCs w:val="24"/>
        </w:rPr>
        <w:t xml:space="preserve"> kroz</w:t>
      </w:r>
      <w:r w:rsidR="00E650A9" w:rsidRPr="00940A35">
        <w:rPr>
          <w:rFonts w:ascii="Times New Roman" w:hAnsi="Times New Roman" w:cs="Times New Roman"/>
          <w:sz w:val="24"/>
          <w:szCs w:val="24"/>
        </w:rPr>
        <w:t xml:space="preserve"> otplat</w:t>
      </w:r>
      <w:r w:rsidR="00514330">
        <w:rPr>
          <w:rFonts w:ascii="Times New Roman" w:hAnsi="Times New Roman" w:cs="Times New Roman"/>
          <w:sz w:val="24"/>
          <w:szCs w:val="24"/>
        </w:rPr>
        <w:t>u</w:t>
      </w:r>
      <w:r w:rsidR="00E650A9" w:rsidRPr="00940A35">
        <w:rPr>
          <w:rFonts w:ascii="Times New Roman" w:hAnsi="Times New Roman" w:cs="Times New Roman"/>
          <w:sz w:val="24"/>
          <w:szCs w:val="24"/>
        </w:rPr>
        <w:t xml:space="preserve"> glavnice primljenih kredita od tuzemnih kreditnih institucija za izgradnju škola Finida i </w:t>
      </w:r>
      <w:proofErr w:type="spellStart"/>
      <w:r w:rsidR="00E650A9" w:rsidRPr="00940A35">
        <w:rPr>
          <w:rFonts w:ascii="Times New Roman" w:hAnsi="Times New Roman" w:cs="Times New Roman"/>
          <w:sz w:val="24"/>
          <w:szCs w:val="24"/>
        </w:rPr>
        <w:t>Žbandaj</w:t>
      </w:r>
      <w:proofErr w:type="spellEnd"/>
      <w:r w:rsidR="00514330">
        <w:rPr>
          <w:rFonts w:ascii="Times New Roman" w:hAnsi="Times New Roman" w:cs="Times New Roman"/>
          <w:sz w:val="24"/>
          <w:szCs w:val="24"/>
        </w:rPr>
        <w:t>, za rekonstrukciju gradske r</w:t>
      </w:r>
      <w:r w:rsidR="00507E07">
        <w:rPr>
          <w:rFonts w:ascii="Times New Roman" w:hAnsi="Times New Roman" w:cs="Times New Roman"/>
          <w:sz w:val="24"/>
          <w:szCs w:val="24"/>
        </w:rPr>
        <w:t>i</w:t>
      </w:r>
      <w:r w:rsidR="00514330">
        <w:rPr>
          <w:rFonts w:ascii="Times New Roman" w:hAnsi="Times New Roman" w:cs="Times New Roman"/>
          <w:sz w:val="24"/>
          <w:szCs w:val="24"/>
        </w:rPr>
        <w:t>ve, za modernizaciju javne rasvjete</w:t>
      </w:r>
      <w:r w:rsidR="00FB5D54">
        <w:rPr>
          <w:rFonts w:ascii="Times New Roman" w:hAnsi="Times New Roman" w:cs="Times New Roman"/>
          <w:sz w:val="24"/>
          <w:szCs w:val="24"/>
        </w:rPr>
        <w:t xml:space="preserve"> I faza</w:t>
      </w:r>
      <w:r w:rsidR="00514330">
        <w:rPr>
          <w:rFonts w:ascii="Times New Roman" w:hAnsi="Times New Roman" w:cs="Times New Roman"/>
          <w:sz w:val="24"/>
          <w:szCs w:val="24"/>
        </w:rPr>
        <w:t xml:space="preserve">, </w:t>
      </w:r>
      <w:r w:rsidR="00E650A9" w:rsidRPr="00B069FB">
        <w:rPr>
          <w:rFonts w:ascii="Times New Roman" w:hAnsi="Times New Roman" w:cs="Times New Roman"/>
          <w:sz w:val="24"/>
          <w:szCs w:val="24"/>
        </w:rPr>
        <w:t xml:space="preserve"> </w:t>
      </w:r>
      <w:r w:rsidR="00514330">
        <w:rPr>
          <w:rFonts w:ascii="Times New Roman" w:hAnsi="Times New Roman" w:cs="Times New Roman"/>
          <w:sz w:val="24"/>
          <w:szCs w:val="24"/>
        </w:rPr>
        <w:t xml:space="preserve">te za </w:t>
      </w:r>
      <w:r w:rsidR="00C714B2" w:rsidRPr="00B069FB">
        <w:rPr>
          <w:rFonts w:ascii="Times New Roman" w:hAnsi="Times New Roman" w:cs="Times New Roman"/>
          <w:sz w:val="24"/>
          <w:szCs w:val="24"/>
        </w:rPr>
        <w:t xml:space="preserve">otplatu kredita za izgradnju Županijskog centra za gospodarenje otpadom </w:t>
      </w:r>
      <w:proofErr w:type="spellStart"/>
      <w:r w:rsidR="00C714B2" w:rsidRPr="00B069FB">
        <w:rPr>
          <w:rFonts w:ascii="Times New Roman" w:hAnsi="Times New Roman" w:cs="Times New Roman"/>
          <w:sz w:val="24"/>
          <w:szCs w:val="24"/>
        </w:rPr>
        <w:t>Kaštijun</w:t>
      </w:r>
      <w:proofErr w:type="spellEnd"/>
      <w:r w:rsidR="00C714B2" w:rsidRPr="00B069FB">
        <w:rPr>
          <w:rFonts w:ascii="Times New Roman" w:hAnsi="Times New Roman" w:cs="Times New Roman"/>
          <w:sz w:val="24"/>
          <w:szCs w:val="24"/>
        </w:rPr>
        <w:t>, temeljem sporazuma p</w:t>
      </w:r>
      <w:r w:rsidR="00507E07">
        <w:rPr>
          <w:rFonts w:ascii="Times New Roman" w:hAnsi="Times New Roman" w:cs="Times New Roman"/>
          <w:sz w:val="24"/>
          <w:szCs w:val="24"/>
        </w:rPr>
        <w:t>otpisanog s Istarskom županijom.</w:t>
      </w:r>
    </w:p>
    <w:p w14:paraId="647A9717" w14:textId="5CB46807" w:rsidR="00DC529F" w:rsidRDefault="00DC529F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0D2FA6B2" w14:textId="3AC0EA48" w:rsidR="009F2546" w:rsidRDefault="009F2546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15E88C73" w14:textId="20AD6026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364E56AA" w14:textId="2E92B8D6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4DC9B725" w14:textId="00F3B30D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2028A003" w14:textId="242940E8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5DABDABF" w14:textId="11995483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424BE9C6" w14:textId="4F1E7E8B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5FE97D66" w14:textId="25914CBE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5239EB7D" w14:textId="22D52D44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0E63A62B" w14:textId="5C4475B3" w:rsidR="00A32EC2" w:rsidRDefault="00A32EC2" w:rsidP="002E67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02F983" w14:textId="77777777" w:rsidR="00C40125" w:rsidRDefault="00C40125" w:rsidP="002E67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EA6049" w14:textId="383B390C" w:rsidR="002E67D1" w:rsidRPr="00A32EC2" w:rsidRDefault="00A32EC2" w:rsidP="00A32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A32EC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E67D1" w:rsidRPr="00A32EC2">
        <w:rPr>
          <w:rFonts w:ascii="Times New Roman" w:hAnsi="Times New Roman" w:cs="Times New Roman"/>
          <w:b/>
          <w:sz w:val="28"/>
          <w:szCs w:val="28"/>
        </w:rPr>
        <w:t>POSEBNI DIO</w:t>
      </w:r>
    </w:p>
    <w:p w14:paraId="18DF433B" w14:textId="77777777" w:rsidR="002E67D1" w:rsidRPr="002C657E" w:rsidRDefault="002E67D1" w:rsidP="00C60F67">
      <w:pPr>
        <w:jc w:val="both"/>
        <w:rPr>
          <w:rFonts w:ascii="Times New Roman" w:hAnsi="Times New Roman" w:cs="Times New Roman"/>
          <w:sz w:val="24"/>
          <w:szCs w:val="24"/>
        </w:rPr>
      </w:pPr>
      <w:r w:rsidRPr="002C657E">
        <w:rPr>
          <w:rFonts w:ascii="Times New Roman" w:hAnsi="Times New Roman" w:cs="Times New Roman"/>
          <w:sz w:val="24"/>
          <w:szCs w:val="24"/>
        </w:rPr>
        <w:t>U Posebnom dijelu Proračuna svi planirani i izvršeni rashodi i izdaci raspoređeni su kroz razdjel</w:t>
      </w:r>
      <w:r w:rsidR="00C905D2" w:rsidRPr="002C657E">
        <w:rPr>
          <w:rFonts w:ascii="Times New Roman" w:hAnsi="Times New Roman" w:cs="Times New Roman"/>
          <w:sz w:val="24"/>
          <w:szCs w:val="24"/>
        </w:rPr>
        <w:t>e</w:t>
      </w:r>
      <w:r w:rsidRPr="002C657E">
        <w:rPr>
          <w:rFonts w:ascii="Times New Roman" w:hAnsi="Times New Roman" w:cs="Times New Roman"/>
          <w:sz w:val="24"/>
          <w:szCs w:val="24"/>
        </w:rPr>
        <w:t xml:space="preserve"> na upravne odjele Grada Poreča-Parenzo.</w:t>
      </w:r>
    </w:p>
    <w:p w14:paraId="4822F53E" w14:textId="1F8848DD" w:rsidR="002E67D1" w:rsidRPr="002C657E" w:rsidRDefault="002F0FB8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7E">
        <w:rPr>
          <w:rFonts w:ascii="Times New Roman" w:hAnsi="Times New Roman" w:cs="Times New Roman"/>
          <w:sz w:val="24"/>
          <w:szCs w:val="24"/>
        </w:rPr>
        <w:t xml:space="preserve">Sukladno čl. </w:t>
      </w:r>
      <w:r w:rsidR="00C52398">
        <w:rPr>
          <w:rFonts w:ascii="Times New Roman" w:hAnsi="Times New Roman" w:cs="Times New Roman"/>
          <w:sz w:val="24"/>
          <w:szCs w:val="24"/>
        </w:rPr>
        <w:t>14</w:t>
      </w:r>
      <w:r w:rsidRPr="002C657E">
        <w:rPr>
          <w:rFonts w:ascii="Times New Roman" w:hAnsi="Times New Roman" w:cs="Times New Roman"/>
          <w:sz w:val="24"/>
          <w:szCs w:val="24"/>
        </w:rPr>
        <w:t>.</w:t>
      </w:r>
      <w:r w:rsidR="002E67D1" w:rsidRPr="002C657E">
        <w:rPr>
          <w:rFonts w:ascii="Times New Roman" w:hAnsi="Times New Roman" w:cs="Times New Roman"/>
          <w:sz w:val="24"/>
          <w:szCs w:val="24"/>
        </w:rPr>
        <w:t xml:space="preserve"> Pravilnika o polugodišnjem i godišnjem izvještaju o izvršenju proračuna</w:t>
      </w:r>
      <w:r w:rsidRPr="002C657E">
        <w:rPr>
          <w:rFonts w:ascii="Times New Roman" w:hAnsi="Times New Roman" w:cs="Times New Roman"/>
          <w:sz w:val="24"/>
          <w:szCs w:val="24"/>
        </w:rPr>
        <w:t xml:space="preserve"> </w:t>
      </w:r>
      <w:r w:rsidR="00C52398">
        <w:rPr>
          <w:rFonts w:ascii="Times New Roman" w:hAnsi="Times New Roman" w:cs="Times New Roman"/>
          <w:sz w:val="24"/>
          <w:szCs w:val="24"/>
        </w:rPr>
        <w:t xml:space="preserve">i financijskog plana </w:t>
      </w:r>
      <w:r w:rsidRPr="002C657E">
        <w:rPr>
          <w:rFonts w:ascii="Times New Roman" w:hAnsi="Times New Roman" w:cs="Times New Roman"/>
          <w:sz w:val="24"/>
          <w:szCs w:val="24"/>
        </w:rPr>
        <w:t xml:space="preserve">(NN </w:t>
      </w:r>
      <w:r w:rsidR="00C52398">
        <w:rPr>
          <w:rFonts w:ascii="Times New Roman" w:hAnsi="Times New Roman" w:cs="Times New Roman"/>
          <w:sz w:val="24"/>
          <w:szCs w:val="24"/>
        </w:rPr>
        <w:t>85/2023</w:t>
      </w:r>
      <w:r w:rsidR="001629ED" w:rsidRPr="002C657E">
        <w:rPr>
          <w:rFonts w:ascii="Times New Roman" w:hAnsi="Times New Roman" w:cs="Times New Roman"/>
          <w:sz w:val="24"/>
          <w:szCs w:val="24"/>
        </w:rPr>
        <w:t>)</w:t>
      </w:r>
      <w:r w:rsidRPr="002C657E">
        <w:rPr>
          <w:rFonts w:ascii="Times New Roman" w:hAnsi="Times New Roman" w:cs="Times New Roman"/>
          <w:sz w:val="24"/>
          <w:szCs w:val="24"/>
        </w:rPr>
        <w:t>, u Posebnom dijelu Proračuna izvještaj sadr</w:t>
      </w:r>
      <w:r w:rsidR="00C52398">
        <w:rPr>
          <w:rFonts w:ascii="Times New Roman" w:hAnsi="Times New Roman" w:cs="Times New Roman"/>
          <w:sz w:val="24"/>
          <w:szCs w:val="24"/>
        </w:rPr>
        <w:t>ži izvršenje po organizacijskoj i</w:t>
      </w:r>
      <w:r w:rsidRPr="002C657E">
        <w:rPr>
          <w:rFonts w:ascii="Times New Roman" w:hAnsi="Times New Roman" w:cs="Times New Roman"/>
          <w:sz w:val="24"/>
          <w:szCs w:val="24"/>
        </w:rPr>
        <w:t xml:space="preserve"> </w:t>
      </w:r>
      <w:r w:rsidR="00C13E5E" w:rsidRPr="002C657E">
        <w:rPr>
          <w:rFonts w:ascii="Times New Roman" w:hAnsi="Times New Roman" w:cs="Times New Roman"/>
          <w:sz w:val="24"/>
          <w:szCs w:val="24"/>
        </w:rPr>
        <w:t xml:space="preserve">programskoj </w:t>
      </w:r>
      <w:r w:rsidRPr="002C657E">
        <w:rPr>
          <w:rFonts w:ascii="Times New Roman" w:hAnsi="Times New Roman" w:cs="Times New Roman"/>
          <w:sz w:val="24"/>
          <w:szCs w:val="24"/>
        </w:rPr>
        <w:t xml:space="preserve"> klasifikaciji.</w:t>
      </w:r>
      <w:r w:rsidR="00C52398">
        <w:rPr>
          <w:rFonts w:ascii="Times New Roman" w:hAnsi="Times New Roman" w:cs="Times New Roman"/>
          <w:sz w:val="24"/>
          <w:szCs w:val="24"/>
        </w:rPr>
        <w:t xml:space="preserve"> Izvještaj po programskoj klasifikaciji sadrži prikaz rashoda i izdataka proračuna iskazanih po organizacijskoj klasifikaciji, izvorima financiranja i ekonomskoj klasifikaciji.</w:t>
      </w:r>
    </w:p>
    <w:p w14:paraId="1B0ED3C1" w14:textId="3B88E6C9" w:rsidR="002E1413" w:rsidRDefault="00C13E5E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7E">
        <w:rPr>
          <w:rFonts w:ascii="Times New Roman" w:hAnsi="Times New Roman" w:cs="Times New Roman"/>
          <w:sz w:val="24"/>
          <w:szCs w:val="24"/>
        </w:rPr>
        <w:t>U slijedećoj tablici daje se usporedni prikaz izvršenja Proračuna za prvo polugodište 20</w:t>
      </w:r>
      <w:r w:rsidR="00685E14" w:rsidRPr="002C657E">
        <w:rPr>
          <w:rFonts w:ascii="Times New Roman" w:hAnsi="Times New Roman" w:cs="Times New Roman"/>
          <w:sz w:val="24"/>
          <w:szCs w:val="24"/>
        </w:rPr>
        <w:t>2</w:t>
      </w:r>
      <w:r w:rsidR="00D84EF8">
        <w:rPr>
          <w:rFonts w:ascii="Times New Roman" w:hAnsi="Times New Roman" w:cs="Times New Roman"/>
          <w:sz w:val="24"/>
          <w:szCs w:val="24"/>
        </w:rPr>
        <w:t>4</w:t>
      </w:r>
      <w:r w:rsidRPr="002C657E">
        <w:rPr>
          <w:rFonts w:ascii="Times New Roman" w:hAnsi="Times New Roman" w:cs="Times New Roman"/>
          <w:sz w:val="24"/>
          <w:szCs w:val="24"/>
        </w:rPr>
        <w:t xml:space="preserve">. godine i tekućeg Plana te odnos između realizacije u </w:t>
      </w:r>
      <w:r w:rsidR="0016123F" w:rsidRPr="002C657E">
        <w:rPr>
          <w:rFonts w:ascii="Times New Roman" w:hAnsi="Times New Roman" w:cs="Times New Roman"/>
          <w:sz w:val="24"/>
          <w:szCs w:val="24"/>
        </w:rPr>
        <w:t xml:space="preserve">tekućoj </w:t>
      </w:r>
      <w:r w:rsidRPr="002C657E">
        <w:rPr>
          <w:rFonts w:ascii="Times New Roman" w:hAnsi="Times New Roman" w:cs="Times New Roman"/>
          <w:sz w:val="24"/>
          <w:szCs w:val="24"/>
        </w:rPr>
        <w:t xml:space="preserve"> i prethodnoj godini u istom izvještajnom razdoblju.</w:t>
      </w:r>
    </w:p>
    <w:p w14:paraId="0E0A903A" w14:textId="464BC76E" w:rsidR="00AD0276" w:rsidRDefault="00AD0276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8FF0" w14:textId="25CFC905" w:rsidR="00AD0276" w:rsidRPr="00AD0276" w:rsidRDefault="00AD0276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</w:rPr>
        <w:t>Tablica 8. IZVJEŠTAJ PO ORGANIZACIJSKOJ KLASIFIKACIJI</w:t>
      </w:r>
    </w:p>
    <w:p w14:paraId="37061C13" w14:textId="77777777" w:rsidR="002E1413" w:rsidRPr="009F2546" w:rsidRDefault="002E1413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ipopis-Isticanje5"/>
        <w:tblW w:w="8897" w:type="dxa"/>
        <w:jc w:val="center"/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843"/>
        <w:gridCol w:w="1843"/>
        <w:gridCol w:w="992"/>
      </w:tblGrid>
      <w:tr w:rsidR="00B307AD" w:rsidRPr="00B307AD" w14:paraId="7472E62E" w14:textId="77777777" w:rsidTr="00BF6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14D8177" w14:textId="77777777" w:rsidR="00273B10" w:rsidRPr="00015063" w:rsidRDefault="00273B10" w:rsidP="00307B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UPRAVNI</w:t>
            </w:r>
          </w:p>
          <w:p w14:paraId="456C9882" w14:textId="77777777" w:rsidR="00273B10" w:rsidRPr="00015063" w:rsidRDefault="00273B10" w:rsidP="00E3075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ODJELI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8B1D068" w14:textId="77777777" w:rsidR="009858D6" w:rsidRDefault="009858D6" w:rsidP="009858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REBALANS</w:t>
            </w:r>
          </w:p>
          <w:p w14:paraId="58915ABA" w14:textId="0F24840F" w:rsidR="00273B10" w:rsidRPr="00015063" w:rsidRDefault="00273B10" w:rsidP="009858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E0237F"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8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B527380" w14:textId="77777777" w:rsidR="00273B10" w:rsidRPr="00015063" w:rsidRDefault="00273B10" w:rsidP="00C06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OSTVARENJE</w:t>
            </w:r>
          </w:p>
          <w:p w14:paraId="0525DEDA" w14:textId="7E5ED01C" w:rsidR="00273B10" w:rsidRPr="00015063" w:rsidRDefault="00273B10" w:rsidP="00531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I-VI 20</w:t>
            </w:r>
            <w:r w:rsidR="000F48E3"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8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8E31382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OSTVARENJE</w:t>
            </w:r>
          </w:p>
          <w:p w14:paraId="5A70328C" w14:textId="63D3851F" w:rsidR="00273B10" w:rsidRPr="00015063" w:rsidRDefault="00273B10" w:rsidP="00531AD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I-VI 20</w:t>
            </w:r>
            <w:r w:rsidR="00E0237F"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8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531A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1D501A46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  <w:lang w:val="de-DE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0"/>
                <w:szCs w:val="24"/>
                <w:lang w:val="de-DE"/>
              </w:rPr>
              <w:t>INDEKS</w:t>
            </w:r>
          </w:p>
          <w:p w14:paraId="250CBB1C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4/2</w:t>
            </w:r>
          </w:p>
        </w:tc>
      </w:tr>
      <w:tr w:rsidR="00B307AD" w:rsidRPr="00B307AD" w14:paraId="1E52A0E1" w14:textId="77777777" w:rsidTr="00BF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6F557B6" w14:textId="77777777" w:rsidR="00273B10" w:rsidRPr="00015063" w:rsidRDefault="00273B10" w:rsidP="00AE0566">
            <w:pPr>
              <w:jc w:val="center"/>
              <w:rPr>
                <w:rFonts w:ascii="Times New Roman" w:hAnsi="Times New Roman" w:cs="Times New Roman"/>
                <w:b w:val="0"/>
                <w:lang w:val="de-DE"/>
              </w:rPr>
            </w:pPr>
            <w:r w:rsidRPr="00015063">
              <w:rPr>
                <w:rFonts w:ascii="Times New Roman" w:hAnsi="Times New Roman" w:cs="Times New Roman"/>
                <w:b w:val="0"/>
                <w:lang w:val="de-DE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D32DBA0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15063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843" w:type="dxa"/>
          </w:tcPr>
          <w:p w14:paraId="6320625D" w14:textId="77777777" w:rsidR="00273B10" w:rsidRPr="00015063" w:rsidRDefault="00273B10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015063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C6A706F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15063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4A684CAF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b w:val="0"/>
                <w:lang w:val="de-DE"/>
              </w:rPr>
            </w:pPr>
            <w:r w:rsidRPr="00015063">
              <w:rPr>
                <w:rFonts w:ascii="Times New Roman" w:hAnsi="Times New Roman" w:cs="Times New Roman"/>
                <w:b w:val="0"/>
                <w:lang w:val="de-DE"/>
              </w:rPr>
              <w:t>5</w:t>
            </w:r>
          </w:p>
        </w:tc>
      </w:tr>
      <w:tr w:rsidR="006F68EF" w:rsidRPr="00B307AD" w14:paraId="24C4ABA2" w14:textId="77777777" w:rsidTr="00E72B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62F2A044" w14:textId="7923151C" w:rsidR="006F68EF" w:rsidRPr="001A3A65" w:rsidRDefault="006F68EF" w:rsidP="006F68E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" w:name="_Hlk173915182"/>
            <w:r w:rsidRPr="001A3A6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I. Upravni odjel za opću upravu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0FB4A51" w14:textId="391C2E27" w:rsidR="006F68EF" w:rsidRPr="007B0F4F" w:rsidRDefault="006F68EF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4.935.850</w:t>
            </w:r>
          </w:p>
        </w:tc>
        <w:tc>
          <w:tcPr>
            <w:tcW w:w="1843" w:type="dxa"/>
            <w:vAlign w:val="center"/>
          </w:tcPr>
          <w:p w14:paraId="135EB156" w14:textId="20B4DEA7" w:rsidR="006F68EF" w:rsidRPr="009F6CC9" w:rsidRDefault="006F68EF" w:rsidP="006F6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1.536.521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2C5F4A7" w14:textId="482BC311" w:rsidR="006F68EF" w:rsidRPr="007A2B07" w:rsidRDefault="00BD207B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1.761.340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6F477E49" w14:textId="4B94AFA5" w:rsidR="006F68EF" w:rsidRPr="00015063" w:rsidRDefault="006F68EF" w:rsidP="006F68E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36%</w:t>
            </w:r>
          </w:p>
        </w:tc>
      </w:tr>
      <w:tr w:rsidR="006F68EF" w:rsidRPr="00B307AD" w14:paraId="12035C5D" w14:textId="77777777" w:rsidTr="00E72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27F93C19" w14:textId="77777777" w:rsidR="006F68EF" w:rsidRPr="001A3A65" w:rsidRDefault="006F68EF" w:rsidP="006F68E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A65">
              <w:rPr>
                <w:rFonts w:ascii="Times New Roman" w:hAnsi="Times New Roman" w:cs="Times New Roman"/>
                <w:b w:val="0"/>
                <w:sz w:val="24"/>
                <w:szCs w:val="24"/>
              </w:rPr>
              <w:t>II. Upravni odjel za financije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F83412F" w14:textId="345A8312" w:rsidR="006F68EF" w:rsidRPr="007B0F4F" w:rsidRDefault="006F68EF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1.903.470</w:t>
            </w:r>
          </w:p>
        </w:tc>
        <w:tc>
          <w:tcPr>
            <w:tcW w:w="1843" w:type="dxa"/>
            <w:vAlign w:val="center"/>
          </w:tcPr>
          <w:p w14:paraId="09686119" w14:textId="69879A65" w:rsidR="006F68EF" w:rsidRPr="009F6CC9" w:rsidRDefault="006F68EF" w:rsidP="006F6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804.661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461B854" w14:textId="5BBD2628" w:rsidR="006F68EF" w:rsidRPr="007A2B07" w:rsidRDefault="00BD207B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804.160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33E9237E" w14:textId="322AF050" w:rsidR="006F68EF" w:rsidRPr="00015063" w:rsidRDefault="006F68EF" w:rsidP="006F68E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  <w:r w:rsidR="00462E7E">
              <w:rPr>
                <w:rFonts w:ascii="Times New Roman" w:hAnsi="Times New Roman" w:cs="Times New Roman"/>
                <w:b w:val="0"/>
              </w:rPr>
              <w:t>2</w:t>
            </w:r>
            <w:r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6F68EF" w:rsidRPr="00B307AD" w14:paraId="17C6DBB5" w14:textId="77777777" w:rsidTr="00015063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5FB091E" w14:textId="77777777" w:rsidR="006F68EF" w:rsidRPr="001A3A65" w:rsidRDefault="006F68EF" w:rsidP="006F68E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A65">
              <w:rPr>
                <w:rFonts w:ascii="Times New Roman" w:hAnsi="Times New Roman" w:cs="Times New Roman"/>
                <w:b w:val="0"/>
                <w:sz w:val="24"/>
                <w:szCs w:val="24"/>
              </w:rPr>
              <w:t>III. Upravni odjel za društvene djelatnosti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A99999E" w14:textId="7AD7F48F" w:rsidR="006F68EF" w:rsidRPr="007B0F4F" w:rsidRDefault="006F68EF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42.512.035</w:t>
            </w:r>
          </w:p>
        </w:tc>
        <w:tc>
          <w:tcPr>
            <w:tcW w:w="1843" w:type="dxa"/>
            <w:vAlign w:val="center"/>
          </w:tcPr>
          <w:p w14:paraId="61A71471" w14:textId="7E139894" w:rsidR="006F68EF" w:rsidRPr="009F6CC9" w:rsidRDefault="006F68EF" w:rsidP="006F6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9.141.999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1C82F48" w14:textId="752F6722" w:rsidR="006F68EF" w:rsidRPr="007A2B07" w:rsidRDefault="00BD207B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11.643.517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57CABD23" w14:textId="78638E32" w:rsidR="006F68EF" w:rsidRPr="00015063" w:rsidRDefault="00462E7E" w:rsidP="006F68E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  <w:r w:rsidR="006F68EF">
              <w:rPr>
                <w:rFonts w:ascii="Times New Roman" w:hAnsi="Times New Roman" w:cs="Times New Roman"/>
                <w:b w:val="0"/>
              </w:rPr>
              <w:t>7%</w:t>
            </w:r>
          </w:p>
        </w:tc>
      </w:tr>
      <w:tr w:rsidR="006F68EF" w:rsidRPr="00B307AD" w14:paraId="7D8F4504" w14:textId="77777777" w:rsidTr="00015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42E76920" w14:textId="02A0F373" w:rsidR="006F68EF" w:rsidRPr="000F48E3" w:rsidRDefault="006F68EF" w:rsidP="006F68E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8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IV. Upravni odjel za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gospodarstvo i EU fondove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2B8B735" w14:textId="656A142B" w:rsidR="006F68EF" w:rsidRPr="007B0F4F" w:rsidRDefault="006F68EF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2.092.085</w:t>
            </w:r>
          </w:p>
        </w:tc>
        <w:tc>
          <w:tcPr>
            <w:tcW w:w="1843" w:type="dxa"/>
            <w:vAlign w:val="center"/>
          </w:tcPr>
          <w:p w14:paraId="43594A24" w14:textId="0A8FA04C" w:rsidR="006F68EF" w:rsidRPr="009F6CC9" w:rsidRDefault="006F68EF" w:rsidP="006F6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406.988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37E1168" w14:textId="19FDA24B" w:rsidR="006F68EF" w:rsidRPr="007A2B07" w:rsidRDefault="00BD207B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294.798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266EA3D1" w14:textId="59D389E3" w:rsidR="006F68EF" w:rsidRPr="00015063" w:rsidRDefault="00462E7E" w:rsidP="006F68E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</w:t>
            </w:r>
            <w:r w:rsidR="006F68EF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6F68EF" w:rsidRPr="00B307AD" w14:paraId="19A617A4" w14:textId="77777777" w:rsidTr="00015063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7C579E37" w14:textId="77777777" w:rsidR="006F68EF" w:rsidRPr="000F48E3" w:rsidRDefault="006F68EF" w:rsidP="006F68E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8E3">
              <w:rPr>
                <w:rFonts w:ascii="Times New Roman" w:hAnsi="Times New Roman" w:cs="Times New Roman"/>
                <w:b w:val="0"/>
                <w:sz w:val="24"/>
                <w:szCs w:val="24"/>
              </w:rPr>
              <w:t>IV. Upravni odjel za komunalni sustav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85D963F" w14:textId="52B78874" w:rsidR="006F68EF" w:rsidRPr="007B0F4F" w:rsidRDefault="006F68EF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14.568.830</w:t>
            </w:r>
          </w:p>
        </w:tc>
        <w:tc>
          <w:tcPr>
            <w:tcW w:w="1843" w:type="dxa"/>
            <w:vAlign w:val="center"/>
          </w:tcPr>
          <w:p w14:paraId="4959C8E0" w14:textId="3B52AAD4" w:rsidR="006F68EF" w:rsidRPr="009F6CC9" w:rsidRDefault="006F68EF" w:rsidP="006F6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2.551.133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47C18FD" w14:textId="28AE4B26" w:rsidR="006F68EF" w:rsidRPr="007A2B07" w:rsidRDefault="00BD207B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2.968.700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77D74CB1" w14:textId="7E26D415" w:rsidR="006F68EF" w:rsidRPr="00015063" w:rsidRDefault="00462E7E" w:rsidP="006F68E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</w:t>
            </w:r>
            <w:r w:rsidR="006F68EF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6F68EF" w:rsidRPr="00B307AD" w14:paraId="2A6C5027" w14:textId="77777777" w:rsidTr="00015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13E5B371" w14:textId="77777777" w:rsidR="006F68EF" w:rsidRPr="000F48E3" w:rsidRDefault="006F68EF" w:rsidP="006F68E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8E3">
              <w:rPr>
                <w:rFonts w:ascii="Times New Roman" w:hAnsi="Times New Roman" w:cs="Times New Roman"/>
                <w:b w:val="0"/>
                <w:sz w:val="24"/>
                <w:szCs w:val="24"/>
              </w:rPr>
              <w:t>V. Upravni odjel za prostorno planiranje i zaštitu okoliša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E21A6C0" w14:textId="00AC919D" w:rsidR="006F68EF" w:rsidRPr="007B0F4F" w:rsidRDefault="006F68EF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2.203.960</w:t>
            </w:r>
          </w:p>
        </w:tc>
        <w:tc>
          <w:tcPr>
            <w:tcW w:w="1843" w:type="dxa"/>
            <w:vAlign w:val="center"/>
          </w:tcPr>
          <w:p w14:paraId="1C071681" w14:textId="085804BB" w:rsidR="006F68EF" w:rsidRPr="009F6CC9" w:rsidRDefault="006F68EF" w:rsidP="006F6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183.666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6F704FD" w14:textId="7B2F9B92" w:rsidR="006F68EF" w:rsidRPr="007A2B07" w:rsidRDefault="00BD207B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1.011.594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5D874B9B" w14:textId="668F655D" w:rsidR="006F68EF" w:rsidRPr="00015063" w:rsidRDefault="00462E7E" w:rsidP="006F68E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41</w:t>
            </w:r>
            <w:r w:rsidR="006F68EF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6F68EF" w:rsidRPr="00B307AD" w14:paraId="137600C8" w14:textId="77777777" w:rsidTr="000150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184BAFA7" w14:textId="77777777" w:rsidR="006F68EF" w:rsidRPr="000F48E3" w:rsidRDefault="006F68EF" w:rsidP="006F68E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8E3">
              <w:rPr>
                <w:rFonts w:ascii="Times New Roman" w:hAnsi="Times New Roman" w:cs="Times New Roman"/>
                <w:b w:val="0"/>
                <w:sz w:val="24"/>
                <w:szCs w:val="24"/>
              </w:rPr>
              <w:t>VI. Upravni odjel za prostorno uređenje i gradnju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A9E5816" w14:textId="7113E5D2" w:rsidR="006F68EF" w:rsidRPr="007B0F4F" w:rsidRDefault="006F68EF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137.700</w:t>
            </w:r>
          </w:p>
        </w:tc>
        <w:tc>
          <w:tcPr>
            <w:tcW w:w="1843" w:type="dxa"/>
            <w:vAlign w:val="center"/>
          </w:tcPr>
          <w:p w14:paraId="17A6033C" w14:textId="0758F33C" w:rsidR="006F68EF" w:rsidRPr="009F6CC9" w:rsidRDefault="006F68EF" w:rsidP="006F6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58.988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6D6D3F6" w14:textId="6E0948BE" w:rsidR="006F68EF" w:rsidRPr="007A2B07" w:rsidRDefault="00BD207B" w:rsidP="006F68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66.112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0A8E62EE" w14:textId="4EFB3004" w:rsidR="006F68EF" w:rsidRPr="00015063" w:rsidRDefault="006F68EF" w:rsidP="006F68E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48%</w:t>
            </w:r>
          </w:p>
        </w:tc>
      </w:tr>
      <w:tr w:rsidR="006F68EF" w:rsidRPr="00B307AD" w14:paraId="370BDC73" w14:textId="77777777" w:rsidTr="007B0F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108B49A" w14:textId="77777777" w:rsidR="006F68EF" w:rsidRPr="000F48E3" w:rsidRDefault="006F68EF" w:rsidP="006F68EF">
            <w:pPr>
              <w:rPr>
                <w:rFonts w:ascii="Times New Roman" w:hAnsi="Times New Roman" w:cs="Times New Roman"/>
                <w:b w:val="0"/>
              </w:rPr>
            </w:pPr>
            <w:r w:rsidRPr="000F48E3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6053769" w14:textId="7E72C746" w:rsidR="006F68EF" w:rsidRPr="007B0F4F" w:rsidRDefault="005E28BE" w:rsidP="006F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68.353.930</w:t>
            </w:r>
          </w:p>
        </w:tc>
        <w:tc>
          <w:tcPr>
            <w:tcW w:w="1843" w:type="dxa"/>
            <w:vAlign w:val="center"/>
          </w:tcPr>
          <w:p w14:paraId="012B8B38" w14:textId="6937132F" w:rsidR="006F68EF" w:rsidRPr="009F6CC9" w:rsidRDefault="006F68EF" w:rsidP="006F68E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5E9F">
              <w:rPr>
                <w:rFonts w:ascii="Times New Roman" w:hAnsi="Times New Roman" w:cs="Times New Roman"/>
              </w:rPr>
              <w:t>14.683.959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E888F2C" w14:textId="39F18612" w:rsidR="006F68EF" w:rsidRPr="00B307AD" w:rsidRDefault="006F68EF" w:rsidP="006F68EF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C65E9F">
              <w:rPr>
                <w:rFonts w:ascii="Times New Roman" w:hAnsi="Times New Roman" w:cs="Times New Roman"/>
              </w:rPr>
              <w:t>1</w:t>
            </w:r>
            <w:r w:rsidR="00BD207B">
              <w:rPr>
                <w:rFonts w:ascii="Times New Roman" w:hAnsi="Times New Roman" w:cs="Times New Roman"/>
              </w:rPr>
              <w:t>8</w:t>
            </w:r>
            <w:r w:rsidRPr="00C65E9F">
              <w:rPr>
                <w:rFonts w:ascii="Times New Roman" w:hAnsi="Times New Roman" w:cs="Times New Roman"/>
              </w:rPr>
              <w:t>.</w:t>
            </w:r>
            <w:r w:rsidR="00BD207B">
              <w:rPr>
                <w:rFonts w:ascii="Times New Roman" w:hAnsi="Times New Roman" w:cs="Times New Roman"/>
              </w:rPr>
              <w:t>550.225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57E99527" w14:textId="3C352337" w:rsidR="006F68EF" w:rsidRPr="00015063" w:rsidRDefault="00462E7E" w:rsidP="006F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F68EF">
              <w:rPr>
                <w:rFonts w:ascii="Times New Roman" w:hAnsi="Times New Roman" w:cs="Times New Roman"/>
              </w:rPr>
              <w:t>%</w:t>
            </w:r>
          </w:p>
        </w:tc>
      </w:tr>
      <w:bookmarkEnd w:id="2"/>
    </w:tbl>
    <w:p w14:paraId="551D0A33" w14:textId="77777777" w:rsidR="00CA3FF5" w:rsidRDefault="00CA3FF5" w:rsidP="007B281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CC481" w14:textId="2F5F8F5F" w:rsidR="009F2546" w:rsidRDefault="007B281C" w:rsidP="007B281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3C">
        <w:rPr>
          <w:rFonts w:ascii="Times New Roman" w:hAnsi="Times New Roman" w:cs="Times New Roman"/>
          <w:sz w:val="24"/>
          <w:szCs w:val="24"/>
        </w:rPr>
        <w:t xml:space="preserve">U prvom polugodištu tekuće godine najveće je ostvarenje proračuna zabilježeno unutar </w:t>
      </w:r>
      <w:r w:rsidR="00C65E9F">
        <w:rPr>
          <w:rFonts w:ascii="Times New Roman" w:hAnsi="Times New Roman" w:cs="Times New Roman"/>
          <w:sz w:val="24"/>
          <w:szCs w:val="24"/>
        </w:rPr>
        <w:t>Upravnog odjela za prostorno uređenje gradnju</w:t>
      </w:r>
      <w:r w:rsidR="0040187D">
        <w:rPr>
          <w:rFonts w:ascii="Times New Roman" w:hAnsi="Times New Roman" w:cs="Times New Roman"/>
          <w:sz w:val="24"/>
          <w:szCs w:val="24"/>
        </w:rPr>
        <w:t xml:space="preserve"> (48%</w:t>
      </w:r>
      <w:r w:rsidR="00AB2A72">
        <w:rPr>
          <w:rFonts w:ascii="Times New Roman" w:hAnsi="Times New Roman" w:cs="Times New Roman"/>
          <w:sz w:val="24"/>
          <w:szCs w:val="24"/>
        </w:rPr>
        <w:t>)</w:t>
      </w:r>
      <w:r w:rsidR="00462E7E">
        <w:rPr>
          <w:rFonts w:ascii="Times New Roman" w:hAnsi="Times New Roman" w:cs="Times New Roman"/>
          <w:sz w:val="24"/>
          <w:szCs w:val="24"/>
        </w:rPr>
        <w:t>,</w:t>
      </w:r>
      <w:r w:rsidR="00C65E9F">
        <w:rPr>
          <w:rFonts w:ascii="Times New Roman" w:hAnsi="Times New Roman" w:cs="Times New Roman"/>
          <w:sz w:val="24"/>
          <w:szCs w:val="24"/>
        </w:rPr>
        <w:t xml:space="preserve"> </w:t>
      </w:r>
      <w:r w:rsidR="0040187D">
        <w:rPr>
          <w:rFonts w:ascii="Times New Roman" w:hAnsi="Times New Roman" w:cs="Times New Roman"/>
          <w:sz w:val="24"/>
          <w:szCs w:val="24"/>
        </w:rPr>
        <w:t xml:space="preserve">Upravnog odjela za </w:t>
      </w:r>
      <w:r w:rsidR="00C65E9F">
        <w:rPr>
          <w:rFonts w:ascii="Times New Roman" w:hAnsi="Times New Roman" w:cs="Times New Roman"/>
          <w:sz w:val="24"/>
          <w:szCs w:val="24"/>
        </w:rPr>
        <w:t>financije</w:t>
      </w:r>
      <w:r w:rsidR="0040187D">
        <w:rPr>
          <w:rFonts w:ascii="Times New Roman" w:hAnsi="Times New Roman" w:cs="Times New Roman"/>
          <w:sz w:val="24"/>
          <w:szCs w:val="24"/>
        </w:rPr>
        <w:t xml:space="preserve"> (4</w:t>
      </w:r>
      <w:r w:rsidR="00462E7E">
        <w:rPr>
          <w:rFonts w:ascii="Times New Roman" w:hAnsi="Times New Roman" w:cs="Times New Roman"/>
          <w:sz w:val="24"/>
          <w:szCs w:val="24"/>
        </w:rPr>
        <w:t>2</w:t>
      </w:r>
      <w:r w:rsidR="0040187D">
        <w:rPr>
          <w:rFonts w:ascii="Times New Roman" w:hAnsi="Times New Roman" w:cs="Times New Roman"/>
          <w:sz w:val="24"/>
          <w:szCs w:val="24"/>
        </w:rPr>
        <w:t>%)</w:t>
      </w:r>
      <w:r w:rsidR="00462E7E">
        <w:rPr>
          <w:rFonts w:ascii="Times New Roman" w:hAnsi="Times New Roman" w:cs="Times New Roman"/>
          <w:sz w:val="24"/>
          <w:szCs w:val="24"/>
        </w:rPr>
        <w:t xml:space="preserve"> i Upravnog odjela za prostorno planiranje i zaštitu okoliša (41,0%). </w:t>
      </w:r>
      <w:r w:rsidR="00C65E9F">
        <w:rPr>
          <w:rFonts w:ascii="Times New Roman" w:hAnsi="Times New Roman" w:cs="Times New Roman"/>
          <w:sz w:val="24"/>
          <w:szCs w:val="24"/>
        </w:rPr>
        <w:t>U u</w:t>
      </w:r>
      <w:r w:rsidR="0040187D" w:rsidRPr="00563787">
        <w:rPr>
          <w:rFonts w:ascii="Times New Roman" w:hAnsi="Times New Roman" w:cs="Times New Roman"/>
          <w:sz w:val="24"/>
          <w:szCs w:val="24"/>
        </w:rPr>
        <w:t>kupno ostvarenim rashodima i izdacima najveći udio imaju Upravni o</w:t>
      </w:r>
      <w:r w:rsidR="00563787" w:rsidRPr="00563787">
        <w:rPr>
          <w:rFonts w:ascii="Times New Roman" w:hAnsi="Times New Roman" w:cs="Times New Roman"/>
          <w:sz w:val="24"/>
          <w:szCs w:val="24"/>
        </w:rPr>
        <w:t>djel za društvene djelatnosti (</w:t>
      </w:r>
      <w:r w:rsidR="00C65E9F">
        <w:rPr>
          <w:rFonts w:ascii="Times New Roman" w:hAnsi="Times New Roman" w:cs="Times New Roman"/>
          <w:sz w:val="24"/>
          <w:szCs w:val="24"/>
        </w:rPr>
        <w:t>62,</w:t>
      </w:r>
      <w:r w:rsidR="00462E7E">
        <w:rPr>
          <w:rFonts w:ascii="Times New Roman" w:hAnsi="Times New Roman" w:cs="Times New Roman"/>
          <w:sz w:val="24"/>
          <w:szCs w:val="24"/>
        </w:rPr>
        <w:t>8</w:t>
      </w:r>
      <w:r w:rsidR="0040187D" w:rsidRPr="00563787">
        <w:rPr>
          <w:rFonts w:ascii="Times New Roman" w:hAnsi="Times New Roman" w:cs="Times New Roman"/>
          <w:sz w:val="24"/>
          <w:szCs w:val="24"/>
        </w:rPr>
        <w:t>%) i Upravni odjel za komunalni sustav (</w:t>
      </w:r>
      <w:r w:rsidR="00C65E9F">
        <w:rPr>
          <w:rFonts w:ascii="Times New Roman" w:hAnsi="Times New Roman" w:cs="Times New Roman"/>
          <w:sz w:val="24"/>
          <w:szCs w:val="24"/>
        </w:rPr>
        <w:t>1</w:t>
      </w:r>
      <w:r w:rsidR="00462E7E">
        <w:rPr>
          <w:rFonts w:ascii="Times New Roman" w:hAnsi="Times New Roman" w:cs="Times New Roman"/>
          <w:sz w:val="24"/>
          <w:szCs w:val="24"/>
        </w:rPr>
        <w:t>6</w:t>
      </w:r>
      <w:r w:rsidR="00C65E9F">
        <w:rPr>
          <w:rFonts w:ascii="Times New Roman" w:hAnsi="Times New Roman" w:cs="Times New Roman"/>
          <w:sz w:val="24"/>
          <w:szCs w:val="24"/>
        </w:rPr>
        <w:t>,</w:t>
      </w:r>
      <w:r w:rsidR="00462E7E">
        <w:rPr>
          <w:rFonts w:ascii="Times New Roman" w:hAnsi="Times New Roman" w:cs="Times New Roman"/>
          <w:sz w:val="24"/>
          <w:szCs w:val="24"/>
        </w:rPr>
        <w:t>0</w:t>
      </w:r>
      <w:r w:rsidR="0040187D" w:rsidRPr="00563787">
        <w:rPr>
          <w:rFonts w:ascii="Times New Roman" w:hAnsi="Times New Roman" w:cs="Times New Roman"/>
          <w:sz w:val="24"/>
          <w:szCs w:val="24"/>
        </w:rPr>
        <w:t>%). Potom slijede Upravni odjel za opću upravu (</w:t>
      </w:r>
      <w:r w:rsidR="00462E7E">
        <w:rPr>
          <w:rFonts w:ascii="Times New Roman" w:hAnsi="Times New Roman" w:cs="Times New Roman"/>
          <w:sz w:val="24"/>
          <w:szCs w:val="24"/>
        </w:rPr>
        <w:t>9,5</w:t>
      </w:r>
      <w:r w:rsidR="0040187D" w:rsidRPr="00563787">
        <w:rPr>
          <w:rFonts w:ascii="Times New Roman" w:hAnsi="Times New Roman" w:cs="Times New Roman"/>
          <w:sz w:val="24"/>
          <w:szCs w:val="24"/>
        </w:rPr>
        <w:t>%)</w:t>
      </w:r>
      <w:r w:rsidR="00462E7E">
        <w:rPr>
          <w:rFonts w:ascii="Times New Roman" w:hAnsi="Times New Roman" w:cs="Times New Roman"/>
          <w:sz w:val="24"/>
          <w:szCs w:val="24"/>
        </w:rPr>
        <w:t xml:space="preserve">, </w:t>
      </w:r>
      <w:r w:rsidRPr="00563787">
        <w:rPr>
          <w:rFonts w:ascii="Times New Roman" w:hAnsi="Times New Roman" w:cs="Times New Roman"/>
          <w:sz w:val="24"/>
          <w:szCs w:val="24"/>
        </w:rPr>
        <w:t>Upravn</w:t>
      </w:r>
      <w:r w:rsidR="0040187D" w:rsidRPr="00563787">
        <w:rPr>
          <w:rFonts w:ascii="Times New Roman" w:hAnsi="Times New Roman" w:cs="Times New Roman"/>
          <w:sz w:val="24"/>
          <w:szCs w:val="24"/>
        </w:rPr>
        <w:t>i</w:t>
      </w:r>
      <w:r w:rsidR="00E869DA" w:rsidRPr="00563787">
        <w:rPr>
          <w:rFonts w:ascii="Times New Roman" w:hAnsi="Times New Roman" w:cs="Times New Roman"/>
          <w:sz w:val="24"/>
          <w:szCs w:val="24"/>
        </w:rPr>
        <w:t xml:space="preserve"> odjel za financije </w:t>
      </w:r>
      <w:r w:rsidR="00CA3FF5">
        <w:rPr>
          <w:rFonts w:ascii="Times New Roman" w:hAnsi="Times New Roman" w:cs="Times New Roman"/>
          <w:sz w:val="24"/>
          <w:szCs w:val="24"/>
        </w:rPr>
        <w:t>(</w:t>
      </w:r>
      <w:r w:rsidR="00462E7E">
        <w:rPr>
          <w:rFonts w:ascii="Times New Roman" w:hAnsi="Times New Roman" w:cs="Times New Roman"/>
          <w:sz w:val="24"/>
          <w:szCs w:val="24"/>
        </w:rPr>
        <w:t>4</w:t>
      </w:r>
      <w:r w:rsidR="00563787" w:rsidRPr="00563787">
        <w:rPr>
          <w:rFonts w:ascii="Times New Roman" w:hAnsi="Times New Roman" w:cs="Times New Roman"/>
          <w:sz w:val="24"/>
          <w:szCs w:val="24"/>
        </w:rPr>
        <w:t>,</w:t>
      </w:r>
      <w:r w:rsidR="00CA3FF5">
        <w:rPr>
          <w:rFonts w:ascii="Times New Roman" w:hAnsi="Times New Roman" w:cs="Times New Roman"/>
          <w:sz w:val="24"/>
          <w:szCs w:val="24"/>
        </w:rPr>
        <w:t>4</w:t>
      </w:r>
      <w:r w:rsidR="00563787" w:rsidRPr="00563787">
        <w:rPr>
          <w:rFonts w:ascii="Times New Roman" w:hAnsi="Times New Roman" w:cs="Times New Roman"/>
          <w:sz w:val="24"/>
          <w:szCs w:val="24"/>
        </w:rPr>
        <w:t>%</w:t>
      </w:r>
      <w:r w:rsidR="00CA3FF5">
        <w:rPr>
          <w:rFonts w:ascii="Times New Roman" w:hAnsi="Times New Roman" w:cs="Times New Roman"/>
          <w:sz w:val="24"/>
          <w:szCs w:val="24"/>
        </w:rPr>
        <w:t xml:space="preserve">) i </w:t>
      </w:r>
      <w:r w:rsidR="00462E7E" w:rsidRPr="00563787">
        <w:rPr>
          <w:rFonts w:ascii="Times New Roman" w:hAnsi="Times New Roman" w:cs="Times New Roman"/>
          <w:sz w:val="24"/>
          <w:szCs w:val="24"/>
        </w:rPr>
        <w:t>Upravni odjel za prostorno planiranje i zaštitu okoliša</w:t>
      </w:r>
      <w:r w:rsidR="00462E7E">
        <w:rPr>
          <w:rFonts w:ascii="Times New Roman" w:hAnsi="Times New Roman" w:cs="Times New Roman"/>
          <w:sz w:val="24"/>
          <w:szCs w:val="24"/>
        </w:rPr>
        <w:t xml:space="preserve"> (5,5%). </w:t>
      </w:r>
      <w:r w:rsidR="00CA3FF5">
        <w:rPr>
          <w:rFonts w:ascii="Times New Roman" w:hAnsi="Times New Roman" w:cs="Times New Roman"/>
          <w:sz w:val="24"/>
          <w:szCs w:val="24"/>
        </w:rPr>
        <w:t>Upravni odjel za gospodarstvo</w:t>
      </w:r>
      <w:r w:rsidR="00462E7E">
        <w:rPr>
          <w:rFonts w:ascii="Times New Roman" w:hAnsi="Times New Roman" w:cs="Times New Roman"/>
          <w:sz w:val="24"/>
          <w:szCs w:val="24"/>
        </w:rPr>
        <w:t xml:space="preserve"> i </w:t>
      </w:r>
      <w:r w:rsidR="00E869DA" w:rsidRPr="00563787">
        <w:rPr>
          <w:rFonts w:ascii="Times New Roman" w:hAnsi="Times New Roman" w:cs="Times New Roman"/>
          <w:sz w:val="24"/>
          <w:szCs w:val="24"/>
        </w:rPr>
        <w:t xml:space="preserve"> Upravni odjel za prostorno uređenje i gradnju imaju zajednički ud</w:t>
      </w:r>
      <w:r w:rsidR="00462E7E">
        <w:rPr>
          <w:rFonts w:ascii="Times New Roman" w:hAnsi="Times New Roman" w:cs="Times New Roman"/>
          <w:sz w:val="24"/>
          <w:szCs w:val="24"/>
        </w:rPr>
        <w:t>io</w:t>
      </w:r>
      <w:r w:rsidR="00E869DA" w:rsidRPr="00563787">
        <w:rPr>
          <w:rFonts w:ascii="Times New Roman" w:hAnsi="Times New Roman" w:cs="Times New Roman"/>
          <w:sz w:val="24"/>
          <w:szCs w:val="24"/>
        </w:rPr>
        <w:t xml:space="preserve"> od </w:t>
      </w:r>
      <w:r w:rsidR="00E5307F" w:rsidRPr="00563787">
        <w:rPr>
          <w:rFonts w:ascii="Times New Roman" w:hAnsi="Times New Roman" w:cs="Times New Roman"/>
          <w:sz w:val="24"/>
          <w:szCs w:val="24"/>
        </w:rPr>
        <w:t>2</w:t>
      </w:r>
      <w:r w:rsidR="00E869DA" w:rsidRPr="00563787">
        <w:rPr>
          <w:rFonts w:ascii="Times New Roman" w:hAnsi="Times New Roman" w:cs="Times New Roman"/>
          <w:sz w:val="24"/>
          <w:szCs w:val="24"/>
        </w:rPr>
        <w:t>% u ukupnim rashodima i izdacima proračuna.</w:t>
      </w:r>
    </w:p>
    <w:p w14:paraId="000BFF17" w14:textId="77777777" w:rsidR="00AD0276" w:rsidRDefault="00AD0276" w:rsidP="007B281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E6F53" w14:textId="40A87E71" w:rsidR="0047587B" w:rsidRPr="00AD0276" w:rsidRDefault="00AD0276" w:rsidP="007B281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276">
        <w:rPr>
          <w:rFonts w:ascii="Times New Roman" w:hAnsi="Times New Roman" w:cs="Times New Roman"/>
          <w:b/>
          <w:bCs/>
          <w:sz w:val="24"/>
          <w:szCs w:val="24"/>
        </w:rPr>
        <w:t>Grafikon 3. ORGANIZACIJSKA KLASIFIKACIJA</w:t>
      </w:r>
    </w:p>
    <w:p w14:paraId="4091A7D0" w14:textId="2EDF9C2C" w:rsidR="0047587B" w:rsidRDefault="0047587B" w:rsidP="007B281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71402" w14:textId="2B3D00B0" w:rsidR="0047587B" w:rsidRDefault="001D28A3" w:rsidP="007B281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5034AE" wp14:editId="777D320B">
            <wp:extent cx="5939790" cy="3211830"/>
            <wp:effectExtent l="0" t="0" r="3810" b="7620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78B1849F-EF00-4DD9-9BFC-4D3FD3F2E6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F11DD79" w14:textId="67657EC2" w:rsidR="001D28A3" w:rsidRDefault="001D28A3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CB610" w14:textId="51A158A1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20A01" w14:textId="55D6A952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A8A47" w14:textId="26079751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44C9E2" w14:textId="46019335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792342" w14:textId="534A6DFF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6AB35D" w14:textId="3D6FEDEC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07493C" w14:textId="549135BF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C7CE01" w14:textId="4936F29A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5C98C" w14:textId="6511E443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6EC776" w14:textId="06E6F401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2B80D6" w14:textId="50FA6D9B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BA14F" w14:textId="1A7830EA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2086B" w14:textId="57D5388D" w:rsidR="00C40125" w:rsidRDefault="00C40125" w:rsidP="001D28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34CBC6" w14:textId="4C935EEE" w:rsidR="00A32EC2" w:rsidRPr="001D28A3" w:rsidRDefault="001D28A3" w:rsidP="001D28A3">
      <w:pPr>
        <w:pStyle w:val="Odlomakpopisa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POSEBNI IZVJEŠTAJI </w:t>
      </w:r>
    </w:p>
    <w:p w14:paraId="7E47D424" w14:textId="77777777" w:rsidR="001D28A3" w:rsidRDefault="001D28A3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071DB05A" w14:textId="77777777" w:rsidR="001D28A3" w:rsidRDefault="001D28A3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0A60F47A" w14:textId="7EF3CEE6" w:rsidR="00A32EC2" w:rsidRPr="00C40125" w:rsidRDefault="00A32EC2" w:rsidP="00A32EC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4012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D28A3" w:rsidRPr="00C401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34F2" w:rsidRPr="00C40125">
        <w:rPr>
          <w:rFonts w:ascii="Times New Roman" w:hAnsi="Times New Roman" w:cs="Times New Roman"/>
          <w:b/>
          <w:sz w:val="24"/>
          <w:szCs w:val="24"/>
        </w:rPr>
        <w:t xml:space="preserve">IZVJEŠTAJ O DANIM JAMSTVIMA ZA RAZDOBLJE </w:t>
      </w:r>
      <w:r w:rsidR="005A0BC6" w:rsidRPr="00C40125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Pr="00C4012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73ACD6E6" w14:textId="54E2AFB8" w:rsidR="00E134F2" w:rsidRPr="00C40125" w:rsidRDefault="00A32EC2" w:rsidP="00A32EC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4012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134F2" w:rsidRPr="00C40125">
        <w:rPr>
          <w:rFonts w:ascii="Times New Roman" w:hAnsi="Times New Roman" w:cs="Times New Roman"/>
          <w:b/>
          <w:sz w:val="24"/>
          <w:szCs w:val="24"/>
        </w:rPr>
        <w:t>01.01. DO  30.06.20</w:t>
      </w:r>
      <w:r w:rsidR="009A4EC9" w:rsidRPr="00C40125">
        <w:rPr>
          <w:rFonts w:ascii="Times New Roman" w:hAnsi="Times New Roman" w:cs="Times New Roman"/>
          <w:b/>
          <w:sz w:val="24"/>
          <w:szCs w:val="24"/>
        </w:rPr>
        <w:t>2</w:t>
      </w:r>
      <w:r w:rsidR="000137F0" w:rsidRPr="00C40125">
        <w:rPr>
          <w:rFonts w:ascii="Times New Roman" w:hAnsi="Times New Roman" w:cs="Times New Roman"/>
          <w:b/>
          <w:sz w:val="24"/>
          <w:szCs w:val="24"/>
        </w:rPr>
        <w:t>4</w:t>
      </w:r>
      <w:r w:rsidR="00E134F2" w:rsidRPr="00C40125">
        <w:rPr>
          <w:rFonts w:ascii="Times New Roman" w:hAnsi="Times New Roman" w:cs="Times New Roman"/>
          <w:b/>
          <w:sz w:val="24"/>
          <w:szCs w:val="24"/>
        </w:rPr>
        <w:t>.</w:t>
      </w:r>
      <w:r w:rsidR="005A0BC6" w:rsidRPr="00C40125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69AA5781" w14:textId="55115BF4" w:rsidR="00A32EC2" w:rsidRPr="00A32EC2" w:rsidRDefault="000137F0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1FACB1" w14:textId="332AF381" w:rsidR="001D28A3" w:rsidRDefault="00A00D9C" w:rsidP="001D28A3">
      <w:pPr>
        <w:jc w:val="both"/>
        <w:rPr>
          <w:rFonts w:ascii="Times New Roman" w:hAnsi="Times New Roman" w:cs="Times New Roman"/>
          <w:sz w:val="24"/>
          <w:szCs w:val="24"/>
        </w:rPr>
      </w:pPr>
      <w:r w:rsidRPr="00222F32">
        <w:rPr>
          <w:rFonts w:ascii="Times New Roman" w:hAnsi="Times New Roman" w:cs="Times New Roman"/>
          <w:sz w:val="24"/>
          <w:szCs w:val="24"/>
        </w:rPr>
        <w:t>Grad Poreč - Parenzo nema aktivn</w:t>
      </w:r>
      <w:r w:rsidR="00943B68" w:rsidRPr="00222F32">
        <w:rPr>
          <w:rFonts w:ascii="Times New Roman" w:hAnsi="Times New Roman" w:cs="Times New Roman"/>
          <w:sz w:val="24"/>
          <w:szCs w:val="24"/>
        </w:rPr>
        <w:t>i</w:t>
      </w:r>
      <w:r w:rsidRPr="00222F32">
        <w:rPr>
          <w:rFonts w:ascii="Times New Roman" w:hAnsi="Times New Roman" w:cs="Times New Roman"/>
          <w:sz w:val="24"/>
          <w:szCs w:val="24"/>
        </w:rPr>
        <w:t>h ja</w:t>
      </w:r>
      <w:r w:rsidR="00563787" w:rsidRPr="00222F32">
        <w:rPr>
          <w:rFonts w:ascii="Times New Roman" w:hAnsi="Times New Roman" w:cs="Times New Roman"/>
          <w:sz w:val="24"/>
          <w:szCs w:val="24"/>
        </w:rPr>
        <w:t>mstva u izvještajnom razdoblju.</w:t>
      </w:r>
    </w:p>
    <w:p w14:paraId="11CC5855" w14:textId="77777777" w:rsidR="00C40125" w:rsidRDefault="00C40125" w:rsidP="001D28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37F18" w14:textId="23928BFC" w:rsidR="0012750C" w:rsidRDefault="00C40125" w:rsidP="00C401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D28A3" w:rsidRPr="00C40125">
        <w:rPr>
          <w:rFonts w:ascii="Times New Roman" w:hAnsi="Times New Roman" w:cs="Times New Roman"/>
          <w:b/>
          <w:sz w:val="24"/>
          <w:szCs w:val="24"/>
        </w:rPr>
        <w:t>2.</w:t>
      </w:r>
      <w:r w:rsidR="0012750C" w:rsidRPr="00C40125">
        <w:rPr>
          <w:rFonts w:ascii="Times New Roman" w:hAnsi="Times New Roman" w:cs="Times New Roman"/>
          <w:b/>
          <w:sz w:val="24"/>
          <w:szCs w:val="24"/>
        </w:rPr>
        <w:t xml:space="preserve">IZVJEŠTAJ O ZADUŽIVANJU NA DOMAĆEM  I </w:t>
      </w:r>
      <w:r w:rsidR="00037A24" w:rsidRPr="00C40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50C" w:rsidRPr="00C40125">
        <w:rPr>
          <w:rFonts w:ascii="Times New Roman" w:hAnsi="Times New Roman" w:cs="Times New Roman"/>
          <w:b/>
          <w:sz w:val="24"/>
          <w:szCs w:val="24"/>
        </w:rPr>
        <w:t xml:space="preserve">STRANOM </w:t>
      </w:r>
      <w:r w:rsidR="00A32EC2" w:rsidRPr="00C40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50C" w:rsidRPr="00C40125">
        <w:rPr>
          <w:rFonts w:ascii="Times New Roman" w:hAnsi="Times New Roman" w:cs="Times New Roman"/>
          <w:b/>
          <w:sz w:val="24"/>
          <w:szCs w:val="24"/>
        </w:rPr>
        <w:t xml:space="preserve">TRŽIŠTU KAPITALA  ZA RAZDOBLJE OD </w:t>
      </w:r>
      <w:r w:rsidR="0016123F" w:rsidRPr="00C40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50C" w:rsidRPr="00C40125">
        <w:rPr>
          <w:rFonts w:ascii="Times New Roman" w:hAnsi="Times New Roman" w:cs="Times New Roman"/>
          <w:b/>
          <w:sz w:val="24"/>
          <w:szCs w:val="24"/>
        </w:rPr>
        <w:t>01.01.  DO  30.06.20</w:t>
      </w:r>
      <w:r w:rsidR="00CD2F57" w:rsidRPr="00C40125">
        <w:rPr>
          <w:rFonts w:ascii="Times New Roman" w:hAnsi="Times New Roman" w:cs="Times New Roman"/>
          <w:b/>
          <w:sz w:val="24"/>
          <w:szCs w:val="24"/>
        </w:rPr>
        <w:t>2</w:t>
      </w:r>
      <w:r w:rsidR="000137F0" w:rsidRPr="00C40125">
        <w:rPr>
          <w:rFonts w:ascii="Times New Roman" w:hAnsi="Times New Roman" w:cs="Times New Roman"/>
          <w:b/>
          <w:sz w:val="24"/>
          <w:szCs w:val="24"/>
        </w:rPr>
        <w:t>4</w:t>
      </w:r>
      <w:r w:rsidR="0012750C" w:rsidRPr="00C4012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81845E7" w14:textId="77777777" w:rsidR="00C40125" w:rsidRPr="009858D6" w:rsidRDefault="00C40125" w:rsidP="00C4012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 xml:space="preserve">Dugoročno zaduživanje Grada Poreča-Parenzo izvršeno je sklapanjem Ugovora o dugoročnom kreditu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858D6">
        <w:rPr>
          <w:rFonts w:ascii="Times New Roman" w:hAnsi="Times New Roman" w:cs="Times New Roman"/>
          <w:sz w:val="24"/>
          <w:szCs w:val="24"/>
        </w:rPr>
        <w:t xml:space="preserve"> Hrvatskom bankom za obnovu i razvitak Zagreb u iznosu od 58.666.666,67 (7.786.405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 xml:space="preserve">) dana 26. lipnja 2017. godine, na ukupno 15 godina, temeljem suglasnosti Vlade RH, Klasa: 022-03/17-04/176,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 xml:space="preserve">: 50301-25/27-17-2 od 01. lipnja 2017. godine, radi financiranja izgradnje osnovnih škola Finida i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Žbandaj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>.</w:t>
      </w:r>
    </w:p>
    <w:p w14:paraId="363E83F6" w14:textId="77777777" w:rsidR="00C40125" w:rsidRPr="009858D6" w:rsidRDefault="00C40125" w:rsidP="00C4012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 xml:space="preserve">U svrhu financiranja modernizacije javne rasvjete na području Grada Poreča-Parenzo, izvršeno je dugoročno zaduživanje sklapanjem Ugovora o dugoročnom kreditu s Hrvatskom bankom za obnovu i razvitak (HBOR) u iznosu od 4.000.000,00 kn (530.891,23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 xml:space="preserve">) dana 25.08.2020. godine, na ukupno 5 godina, temeljem suglasnosti za zaduživanje Vlade RH, Klase: 022-03/19-04/242,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>: 50301-25</w:t>
      </w:r>
      <w:r>
        <w:rPr>
          <w:rFonts w:ascii="Times New Roman" w:hAnsi="Times New Roman" w:cs="Times New Roman"/>
          <w:sz w:val="24"/>
          <w:szCs w:val="24"/>
        </w:rPr>
        <w:t xml:space="preserve">/06-19-2, od 27.06.2019. godine. U travnju 2023. godine sklopljen je Ugovor o kreditu s HBOR-om za nastavak modernizacije javne rasvjete u iznosu od 427.135,18 eura, temeljem suglasnosti za zaduživanje Vlade RH, Klase: 022-03/23-01/126,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50301-05/16-23-2 od 13.03.2023. godine, te je kredit u cijelosti iskorišten na dan 30.06.2024. godine.</w:t>
      </w:r>
    </w:p>
    <w:p w14:paraId="1759546E" w14:textId="77777777" w:rsidR="00C40125" w:rsidRDefault="00C40125" w:rsidP="00C4012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>Grad je izvršio dugoročno zaduživanje</w:t>
      </w:r>
      <w:r w:rsidRPr="009858D6"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sklapanjem Ugovora o dugoročnom kreditu s Privrednom bankom Zagreb d.d. u iznosu od 20.000.000,00 kn (2.654.456,16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>) dana 24.12.2020. godine, na ukupno 15 godina, temeljem suglasnosti za zaduživanje Vlade RH, Klase: 022-03/20-04/481, Urbroj:50301-05/16-20-2, od 24.12.2020. godine, radi financiranja kapitalnog projekta rekonstrukcije gradske rive u Poreču.</w:t>
      </w:r>
    </w:p>
    <w:p w14:paraId="5908AE31" w14:textId="77777777" w:rsidR="00C40125" w:rsidRPr="009858D6" w:rsidRDefault="00C40125" w:rsidP="00C4012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Ugovoreni su i kreditni aranžmani s Privrednom bankom Zagreb d.d. u iznosu od 2.700.000,00 eura i 6.100.000,00 eura temeljem suglasnosti za zaduživanje Vlade RH, Klase: 022-03/24-04/219,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50301-05/16-24-3 od 13.06.2024. godine, namijenjeni financiranju izgradnje i opremanja dječjih vrtića u Novoj Vasi i Varvarima. U prvoj polovini tekuće proračunske godine krediti nisu korišteni.</w:t>
      </w:r>
    </w:p>
    <w:p w14:paraId="3D0F6A6A" w14:textId="77777777" w:rsidR="00C40125" w:rsidRPr="009858D6" w:rsidRDefault="00C40125" w:rsidP="00C40125">
      <w:pPr>
        <w:pStyle w:val="Bezproreda"/>
        <w:spacing w:line="276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>Stanje kredita i zajmova na dan 01.01.202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58D6">
        <w:rPr>
          <w:rFonts w:ascii="Times New Roman" w:hAnsi="Times New Roman" w:cs="Times New Roman"/>
          <w:sz w:val="24"/>
          <w:szCs w:val="24"/>
        </w:rPr>
        <w:t xml:space="preserve">. godine iznosilo je </w:t>
      </w:r>
      <w:r>
        <w:rPr>
          <w:rFonts w:ascii="Times New Roman" w:hAnsi="Times New Roman" w:cs="Times New Roman"/>
          <w:sz w:val="24"/>
          <w:szCs w:val="24"/>
        </w:rPr>
        <w:t>9.535.114,08</w:t>
      </w:r>
      <w:r w:rsidRPr="009858D6">
        <w:rPr>
          <w:rFonts w:ascii="Times New Roman" w:hAnsi="Times New Roman" w:cs="Times New Roman"/>
          <w:sz w:val="24"/>
          <w:szCs w:val="24"/>
        </w:rPr>
        <w:t xml:space="preserve"> eura, otplaćeno je </w:t>
      </w:r>
      <w:r>
        <w:rPr>
          <w:rFonts w:ascii="Times New Roman" w:hAnsi="Times New Roman" w:cs="Times New Roman"/>
          <w:sz w:val="24"/>
          <w:szCs w:val="24"/>
        </w:rPr>
        <w:t>495.443,82</w:t>
      </w:r>
      <w:r w:rsidRPr="009858D6">
        <w:rPr>
          <w:rFonts w:ascii="Times New Roman" w:hAnsi="Times New Roman" w:cs="Times New Roman"/>
          <w:sz w:val="24"/>
          <w:szCs w:val="24"/>
        </w:rPr>
        <w:t>, te na dan 30.06.202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58D6">
        <w:rPr>
          <w:rFonts w:ascii="Times New Roman" w:hAnsi="Times New Roman" w:cs="Times New Roman"/>
          <w:sz w:val="24"/>
          <w:szCs w:val="24"/>
        </w:rPr>
        <w:t xml:space="preserve">. godine stanje ukupnih obveza po kreditima i zajmovima iznosi </w:t>
      </w:r>
      <w:r>
        <w:rPr>
          <w:rFonts w:ascii="Times New Roman" w:hAnsi="Times New Roman" w:cs="Times New Roman"/>
          <w:sz w:val="24"/>
          <w:szCs w:val="24"/>
        </w:rPr>
        <w:t>9.466.805,44</w:t>
      </w:r>
      <w:r w:rsidRPr="009858D6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3722B78" w14:textId="77777777" w:rsidR="00C40125" w:rsidRPr="009858D6" w:rsidRDefault="00C40125" w:rsidP="00C4012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>Otplate kreditnih obveza se vrše redovito, dinamikom ugovorenom s bankama, te u izvještajnom razdoblju nema dospjelih kamata na kredite i zajmove već su iste plaćene u cijelosti.</w:t>
      </w:r>
    </w:p>
    <w:p w14:paraId="48110070" w14:textId="77777777" w:rsidR="00C40125" w:rsidRDefault="00C40125" w:rsidP="00C401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A77EA" w14:textId="77777777" w:rsidR="00C40125" w:rsidRPr="00C40125" w:rsidRDefault="00C40125" w:rsidP="00C401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7CDA6" w14:textId="4C40F664" w:rsidR="000137F0" w:rsidRDefault="000137F0" w:rsidP="001D2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EEB">
        <w:rPr>
          <w:rFonts w:ascii="Times New Roman" w:hAnsi="Times New Roman" w:cs="Times New Roman"/>
          <w:b/>
          <w:sz w:val="24"/>
          <w:szCs w:val="24"/>
        </w:rPr>
        <w:lastRenderedPageBreak/>
        <w:t>Tablica 9. PRIMLJENI KREDITI I ZAJMOVI I NIHOVE OTPLATE</w:t>
      </w:r>
    </w:p>
    <w:p w14:paraId="6536E9E6" w14:textId="7055EF89" w:rsidR="00A32EC2" w:rsidRPr="00186F8E" w:rsidRDefault="00AB1D4A" w:rsidP="00186F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D4A">
        <w:rPr>
          <w:noProof/>
        </w:rPr>
        <w:drawing>
          <wp:inline distT="0" distB="0" distL="0" distR="0" wp14:anchorId="06902211" wp14:editId="357FB05A">
            <wp:extent cx="6343650" cy="4067694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718" cy="40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E6902" w14:textId="5FA7D07D" w:rsidR="00A32EC2" w:rsidRPr="00EE53DC" w:rsidRDefault="00A32EC2" w:rsidP="00A32EC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D28A3" w:rsidRPr="00EE53DC">
        <w:rPr>
          <w:rFonts w:ascii="Times New Roman" w:hAnsi="Times New Roman" w:cs="Times New Roman"/>
          <w:b/>
          <w:sz w:val="24"/>
          <w:szCs w:val="24"/>
        </w:rPr>
        <w:t>7.3.</w:t>
      </w:r>
      <w:r w:rsidRPr="00EE5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4F2" w:rsidRPr="00EE53DC">
        <w:rPr>
          <w:rFonts w:ascii="Times New Roman" w:hAnsi="Times New Roman" w:cs="Times New Roman"/>
          <w:b/>
          <w:sz w:val="24"/>
          <w:szCs w:val="24"/>
        </w:rPr>
        <w:t xml:space="preserve">IZVJEŠTAJ O KORIŠTENJU TEKUĆE PRORAČUNSKE </w:t>
      </w:r>
      <w:r w:rsidR="0058298E" w:rsidRPr="00EE5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9B1FBB" w14:textId="2A2D4C99" w:rsidR="0058298E" w:rsidRPr="00EE53DC" w:rsidRDefault="00A32EC2" w:rsidP="00A32EC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E53D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134F2" w:rsidRPr="00EE53DC">
        <w:rPr>
          <w:rFonts w:ascii="Times New Roman" w:hAnsi="Times New Roman" w:cs="Times New Roman"/>
          <w:b/>
          <w:sz w:val="24"/>
          <w:szCs w:val="24"/>
        </w:rPr>
        <w:t>PRIČUVE ZA RAZDOBLJE 01.01. DO 30.06.20</w:t>
      </w:r>
      <w:r w:rsidR="00D91F83" w:rsidRPr="00EE53DC">
        <w:rPr>
          <w:rFonts w:ascii="Times New Roman" w:hAnsi="Times New Roman" w:cs="Times New Roman"/>
          <w:b/>
          <w:sz w:val="24"/>
          <w:szCs w:val="24"/>
        </w:rPr>
        <w:t>2</w:t>
      </w:r>
      <w:r w:rsidR="00186F8E" w:rsidRPr="00EE53DC">
        <w:rPr>
          <w:rFonts w:ascii="Times New Roman" w:hAnsi="Times New Roman" w:cs="Times New Roman"/>
          <w:b/>
          <w:sz w:val="24"/>
          <w:szCs w:val="24"/>
        </w:rPr>
        <w:t>4</w:t>
      </w:r>
      <w:r w:rsidR="00E134F2" w:rsidRPr="00EE53DC">
        <w:rPr>
          <w:rFonts w:ascii="Times New Roman" w:hAnsi="Times New Roman" w:cs="Times New Roman"/>
          <w:b/>
          <w:sz w:val="24"/>
          <w:szCs w:val="24"/>
        </w:rPr>
        <w:t>.</w:t>
      </w:r>
      <w:r w:rsidR="0058298E" w:rsidRPr="00EE53DC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02EB3CC5" w14:textId="77777777" w:rsidR="00A32EC2" w:rsidRPr="00EE53DC" w:rsidRDefault="00A32EC2" w:rsidP="00A32EC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E1CF285" w14:textId="200570A8" w:rsidR="008831E0" w:rsidRDefault="00E134F2" w:rsidP="00AA1F39">
      <w:pPr>
        <w:jc w:val="both"/>
        <w:rPr>
          <w:rFonts w:ascii="Times New Roman" w:hAnsi="Times New Roman" w:cs="Times New Roman"/>
          <w:sz w:val="24"/>
        </w:rPr>
      </w:pPr>
      <w:r w:rsidRPr="00222F32">
        <w:rPr>
          <w:rFonts w:ascii="Times New Roman" w:hAnsi="Times New Roman" w:cs="Times New Roman"/>
          <w:sz w:val="24"/>
        </w:rPr>
        <w:t>U Proračunu za 20</w:t>
      </w:r>
      <w:r w:rsidR="00D91F83" w:rsidRPr="00222F32">
        <w:rPr>
          <w:rFonts w:ascii="Times New Roman" w:hAnsi="Times New Roman" w:cs="Times New Roman"/>
          <w:sz w:val="24"/>
        </w:rPr>
        <w:t>2</w:t>
      </w:r>
      <w:r w:rsidR="00186F8E">
        <w:rPr>
          <w:rFonts w:ascii="Times New Roman" w:hAnsi="Times New Roman" w:cs="Times New Roman"/>
          <w:sz w:val="24"/>
        </w:rPr>
        <w:t>4</w:t>
      </w:r>
      <w:r w:rsidRPr="00222F32">
        <w:rPr>
          <w:rFonts w:ascii="Times New Roman" w:hAnsi="Times New Roman" w:cs="Times New Roman"/>
          <w:sz w:val="24"/>
        </w:rPr>
        <w:t xml:space="preserve">. godinu, u Razdjelu I </w:t>
      </w:r>
      <w:r w:rsidR="00AF20CF" w:rsidRPr="00222F32">
        <w:rPr>
          <w:rFonts w:ascii="Times New Roman" w:hAnsi="Times New Roman" w:cs="Times New Roman"/>
          <w:sz w:val="24"/>
        </w:rPr>
        <w:t>–</w:t>
      </w:r>
      <w:r w:rsidRPr="00222F32">
        <w:rPr>
          <w:rFonts w:ascii="Times New Roman" w:hAnsi="Times New Roman" w:cs="Times New Roman"/>
          <w:sz w:val="24"/>
        </w:rPr>
        <w:t xml:space="preserve"> </w:t>
      </w:r>
      <w:r w:rsidR="00AF20CF" w:rsidRPr="00222F32">
        <w:rPr>
          <w:rFonts w:ascii="Times New Roman" w:hAnsi="Times New Roman" w:cs="Times New Roman"/>
          <w:sz w:val="24"/>
        </w:rPr>
        <w:t>Upravni odjel za opću upravu</w:t>
      </w:r>
      <w:r w:rsidRPr="00222F32">
        <w:rPr>
          <w:rFonts w:ascii="Times New Roman" w:hAnsi="Times New Roman" w:cs="Times New Roman"/>
          <w:sz w:val="24"/>
        </w:rPr>
        <w:t xml:space="preserve">, za </w:t>
      </w:r>
      <w:r w:rsidR="00915C30" w:rsidRPr="00222F32">
        <w:rPr>
          <w:rFonts w:ascii="Times New Roman" w:hAnsi="Times New Roman" w:cs="Times New Roman"/>
          <w:sz w:val="24"/>
        </w:rPr>
        <w:t>Aktivnost</w:t>
      </w:r>
      <w:r w:rsidRPr="00222F32">
        <w:rPr>
          <w:rFonts w:ascii="Times New Roman" w:hAnsi="Times New Roman" w:cs="Times New Roman"/>
          <w:sz w:val="24"/>
        </w:rPr>
        <w:t xml:space="preserve"> Tekuća zaliha proračuna planirano je ukupno </w:t>
      </w:r>
      <w:r w:rsidR="006C2679">
        <w:rPr>
          <w:rFonts w:ascii="Times New Roman" w:hAnsi="Times New Roman" w:cs="Times New Roman"/>
          <w:sz w:val="24"/>
        </w:rPr>
        <w:t>5.0</w:t>
      </w:r>
      <w:r w:rsidR="00222F32" w:rsidRPr="00222F32">
        <w:rPr>
          <w:rFonts w:ascii="Times New Roman" w:hAnsi="Times New Roman" w:cs="Times New Roman"/>
          <w:sz w:val="24"/>
        </w:rPr>
        <w:t>00</w:t>
      </w:r>
      <w:r w:rsidR="00EE53DC">
        <w:rPr>
          <w:rFonts w:ascii="Times New Roman" w:hAnsi="Times New Roman" w:cs="Times New Roman"/>
          <w:sz w:val="24"/>
        </w:rPr>
        <w:t>,00</w:t>
      </w:r>
      <w:r w:rsidR="00222F32" w:rsidRPr="00222F32">
        <w:rPr>
          <w:rFonts w:ascii="Times New Roman" w:hAnsi="Times New Roman" w:cs="Times New Roman"/>
          <w:sz w:val="24"/>
        </w:rPr>
        <w:t xml:space="preserve"> eura</w:t>
      </w:r>
      <w:r w:rsidRPr="00222F32">
        <w:rPr>
          <w:rFonts w:ascii="Times New Roman" w:hAnsi="Times New Roman" w:cs="Times New Roman"/>
          <w:sz w:val="24"/>
        </w:rPr>
        <w:t xml:space="preserve"> za nepredviđene rashode. U razdoblju od 01.01. do 30.06.20</w:t>
      </w:r>
      <w:r w:rsidR="00D91F83" w:rsidRPr="00222F32">
        <w:rPr>
          <w:rFonts w:ascii="Times New Roman" w:hAnsi="Times New Roman" w:cs="Times New Roman"/>
          <w:sz w:val="24"/>
        </w:rPr>
        <w:t>2</w:t>
      </w:r>
      <w:r w:rsidR="006C2679">
        <w:rPr>
          <w:rFonts w:ascii="Times New Roman" w:hAnsi="Times New Roman" w:cs="Times New Roman"/>
          <w:sz w:val="24"/>
        </w:rPr>
        <w:t>4</w:t>
      </w:r>
      <w:r w:rsidRPr="00222F32">
        <w:rPr>
          <w:rFonts w:ascii="Times New Roman" w:hAnsi="Times New Roman" w:cs="Times New Roman"/>
          <w:sz w:val="24"/>
        </w:rPr>
        <w:t xml:space="preserve">. </w:t>
      </w:r>
      <w:r w:rsidR="00C342D3" w:rsidRPr="00222F32">
        <w:rPr>
          <w:rFonts w:ascii="Times New Roman" w:hAnsi="Times New Roman" w:cs="Times New Roman"/>
          <w:sz w:val="24"/>
        </w:rPr>
        <w:t>sredstva proračunske pričuve nisu korištena.</w:t>
      </w:r>
      <w:r w:rsidR="00155351" w:rsidRPr="002A617A">
        <w:rPr>
          <w:rFonts w:ascii="Times New Roman" w:hAnsi="Times New Roman" w:cs="Times New Roman"/>
          <w:sz w:val="24"/>
        </w:rPr>
        <w:t xml:space="preserve"> </w:t>
      </w:r>
    </w:p>
    <w:sectPr w:rsidR="008831E0" w:rsidSect="00E95438">
      <w:footerReference w:type="default" r:id="rId12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3E8F" w14:textId="77777777" w:rsidR="009858D6" w:rsidRDefault="009858D6" w:rsidP="00970424">
      <w:pPr>
        <w:spacing w:after="0" w:line="240" w:lineRule="auto"/>
      </w:pPr>
      <w:r>
        <w:separator/>
      </w:r>
    </w:p>
  </w:endnote>
  <w:endnote w:type="continuationSeparator" w:id="0">
    <w:p w14:paraId="05A01F2C" w14:textId="77777777" w:rsidR="009858D6" w:rsidRDefault="009858D6" w:rsidP="0097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836964"/>
      <w:docPartObj>
        <w:docPartGallery w:val="Page Numbers (Bottom of Page)"/>
        <w:docPartUnique/>
      </w:docPartObj>
    </w:sdtPr>
    <w:sdtEndPr/>
    <w:sdtContent>
      <w:p w14:paraId="036D75CD" w14:textId="1AC282AD" w:rsidR="009858D6" w:rsidRDefault="009858D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CFC">
          <w:rPr>
            <w:noProof/>
          </w:rPr>
          <w:t>10</w:t>
        </w:r>
        <w:r>
          <w:fldChar w:fldCharType="end"/>
        </w:r>
      </w:p>
    </w:sdtContent>
  </w:sdt>
  <w:p w14:paraId="60B51AEB" w14:textId="77777777" w:rsidR="009858D6" w:rsidRDefault="009858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AAE3" w14:textId="77777777" w:rsidR="009858D6" w:rsidRDefault="009858D6" w:rsidP="00970424">
      <w:pPr>
        <w:spacing w:after="0" w:line="240" w:lineRule="auto"/>
      </w:pPr>
      <w:r>
        <w:separator/>
      </w:r>
    </w:p>
  </w:footnote>
  <w:footnote w:type="continuationSeparator" w:id="0">
    <w:p w14:paraId="4521D6E3" w14:textId="77777777" w:rsidR="009858D6" w:rsidRDefault="009858D6" w:rsidP="0097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4FD"/>
    <w:multiLevelType w:val="hybridMultilevel"/>
    <w:tmpl w:val="B8C4C874"/>
    <w:lvl w:ilvl="0" w:tplc="E2848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B4600"/>
    <w:multiLevelType w:val="hybridMultilevel"/>
    <w:tmpl w:val="F5EAB948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379"/>
    <w:multiLevelType w:val="hybridMultilevel"/>
    <w:tmpl w:val="B5A62788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B32E8"/>
    <w:multiLevelType w:val="hybridMultilevel"/>
    <w:tmpl w:val="358EF012"/>
    <w:lvl w:ilvl="0" w:tplc="AE36C5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3C38"/>
    <w:multiLevelType w:val="hybridMultilevel"/>
    <w:tmpl w:val="D3701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5379"/>
    <w:multiLevelType w:val="hybridMultilevel"/>
    <w:tmpl w:val="A8F2E5A0"/>
    <w:lvl w:ilvl="0" w:tplc="B4781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A64779"/>
    <w:multiLevelType w:val="hybridMultilevel"/>
    <w:tmpl w:val="E30E1384"/>
    <w:lvl w:ilvl="0" w:tplc="32068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5CF6"/>
    <w:multiLevelType w:val="hybridMultilevel"/>
    <w:tmpl w:val="40706DA0"/>
    <w:lvl w:ilvl="0" w:tplc="0AA48E0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6FF6"/>
    <w:multiLevelType w:val="hybridMultilevel"/>
    <w:tmpl w:val="1C5A253C"/>
    <w:lvl w:ilvl="0" w:tplc="37CA8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0BE"/>
    <w:multiLevelType w:val="hybridMultilevel"/>
    <w:tmpl w:val="9AB6AA12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668196E"/>
    <w:multiLevelType w:val="multilevel"/>
    <w:tmpl w:val="991A14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1" w15:restartNumberingAfterBreak="0">
    <w:nsid w:val="433503BF"/>
    <w:multiLevelType w:val="hybridMultilevel"/>
    <w:tmpl w:val="392E0C6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E35DE"/>
    <w:multiLevelType w:val="hybridMultilevel"/>
    <w:tmpl w:val="9B4652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7B0DCD"/>
    <w:multiLevelType w:val="hybridMultilevel"/>
    <w:tmpl w:val="16B6C6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535AA"/>
    <w:multiLevelType w:val="hybridMultilevel"/>
    <w:tmpl w:val="E6BECCB0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709C5"/>
    <w:multiLevelType w:val="hybridMultilevel"/>
    <w:tmpl w:val="0C6A7ACC"/>
    <w:lvl w:ilvl="0" w:tplc="E1F06E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CC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F6458"/>
    <w:multiLevelType w:val="hybridMultilevel"/>
    <w:tmpl w:val="819E16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12BFE"/>
    <w:multiLevelType w:val="hybridMultilevel"/>
    <w:tmpl w:val="DF6E3FB0"/>
    <w:lvl w:ilvl="0" w:tplc="63F05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D3FDD"/>
    <w:multiLevelType w:val="hybridMultilevel"/>
    <w:tmpl w:val="D1A6452A"/>
    <w:lvl w:ilvl="0" w:tplc="CD6EAF3A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D340C78"/>
    <w:multiLevelType w:val="hybridMultilevel"/>
    <w:tmpl w:val="36884602"/>
    <w:lvl w:ilvl="0" w:tplc="691CF8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85446"/>
    <w:multiLevelType w:val="hybridMultilevel"/>
    <w:tmpl w:val="0162583E"/>
    <w:lvl w:ilvl="0" w:tplc="A14C77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54243"/>
    <w:multiLevelType w:val="hybridMultilevel"/>
    <w:tmpl w:val="A75E6BA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F0014"/>
    <w:multiLevelType w:val="multilevel"/>
    <w:tmpl w:val="F10C0B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53733366"/>
    <w:multiLevelType w:val="hybridMultilevel"/>
    <w:tmpl w:val="FE0CD1EC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A0CFC"/>
    <w:multiLevelType w:val="hybridMultilevel"/>
    <w:tmpl w:val="7B82A2D6"/>
    <w:lvl w:ilvl="0" w:tplc="EC041EF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2431C"/>
    <w:multiLevelType w:val="hybridMultilevel"/>
    <w:tmpl w:val="7DB648D2"/>
    <w:lvl w:ilvl="0" w:tplc="BF081A3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F5C9F"/>
    <w:multiLevelType w:val="hybridMultilevel"/>
    <w:tmpl w:val="9AB6A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66E28"/>
    <w:multiLevelType w:val="hybridMultilevel"/>
    <w:tmpl w:val="623E5F40"/>
    <w:lvl w:ilvl="0" w:tplc="691CF8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66F1F"/>
    <w:multiLevelType w:val="hybridMultilevel"/>
    <w:tmpl w:val="2266051A"/>
    <w:lvl w:ilvl="0" w:tplc="63F05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40328"/>
    <w:multiLevelType w:val="hybridMultilevel"/>
    <w:tmpl w:val="A08E08D6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6"/>
  </w:num>
  <w:num w:numId="5">
    <w:abstractNumId w:val="9"/>
  </w:num>
  <w:num w:numId="6">
    <w:abstractNumId w:val="24"/>
  </w:num>
  <w:num w:numId="7">
    <w:abstractNumId w:val="19"/>
  </w:num>
  <w:num w:numId="8">
    <w:abstractNumId w:val="26"/>
  </w:num>
  <w:num w:numId="9">
    <w:abstractNumId w:val="21"/>
  </w:num>
  <w:num w:numId="10">
    <w:abstractNumId w:val="27"/>
  </w:num>
  <w:num w:numId="11">
    <w:abstractNumId w:val="20"/>
  </w:num>
  <w:num w:numId="12">
    <w:abstractNumId w:val="1"/>
  </w:num>
  <w:num w:numId="13">
    <w:abstractNumId w:val="15"/>
  </w:num>
  <w:num w:numId="14">
    <w:abstractNumId w:val="8"/>
  </w:num>
  <w:num w:numId="15">
    <w:abstractNumId w:val="28"/>
  </w:num>
  <w:num w:numId="16">
    <w:abstractNumId w:val="2"/>
  </w:num>
  <w:num w:numId="17">
    <w:abstractNumId w:val="29"/>
  </w:num>
  <w:num w:numId="18">
    <w:abstractNumId w:val="5"/>
  </w:num>
  <w:num w:numId="19">
    <w:abstractNumId w:val="0"/>
  </w:num>
  <w:num w:numId="20">
    <w:abstractNumId w:val="4"/>
  </w:num>
  <w:num w:numId="21">
    <w:abstractNumId w:val="7"/>
  </w:num>
  <w:num w:numId="22">
    <w:abstractNumId w:val="25"/>
  </w:num>
  <w:num w:numId="23">
    <w:abstractNumId w:val="17"/>
  </w:num>
  <w:num w:numId="24">
    <w:abstractNumId w:val="3"/>
  </w:num>
  <w:num w:numId="25">
    <w:abstractNumId w:val="23"/>
  </w:num>
  <w:num w:numId="26">
    <w:abstractNumId w:val="14"/>
  </w:num>
  <w:num w:numId="27">
    <w:abstractNumId w:val="6"/>
  </w:num>
  <w:num w:numId="28">
    <w:abstractNumId w:val="10"/>
  </w:num>
  <w:num w:numId="29">
    <w:abstractNumId w:val="11"/>
  </w:num>
  <w:num w:numId="3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80"/>
    <w:rsid w:val="000006F0"/>
    <w:rsid w:val="00005AEF"/>
    <w:rsid w:val="000062EC"/>
    <w:rsid w:val="00007FDC"/>
    <w:rsid w:val="00010973"/>
    <w:rsid w:val="000124BB"/>
    <w:rsid w:val="00012B42"/>
    <w:rsid w:val="000134B3"/>
    <w:rsid w:val="000137F0"/>
    <w:rsid w:val="000139E8"/>
    <w:rsid w:val="00015063"/>
    <w:rsid w:val="0002198F"/>
    <w:rsid w:val="0002233B"/>
    <w:rsid w:val="00025FEA"/>
    <w:rsid w:val="000265A2"/>
    <w:rsid w:val="00026842"/>
    <w:rsid w:val="00033B7E"/>
    <w:rsid w:val="0003710F"/>
    <w:rsid w:val="00037A24"/>
    <w:rsid w:val="00037BAF"/>
    <w:rsid w:val="00037E4C"/>
    <w:rsid w:val="0004177D"/>
    <w:rsid w:val="00045F17"/>
    <w:rsid w:val="00046FD5"/>
    <w:rsid w:val="0005278E"/>
    <w:rsid w:val="00053A48"/>
    <w:rsid w:val="00053F79"/>
    <w:rsid w:val="000561A0"/>
    <w:rsid w:val="00061BCC"/>
    <w:rsid w:val="00062A41"/>
    <w:rsid w:val="0006359D"/>
    <w:rsid w:val="00064D9F"/>
    <w:rsid w:val="00065301"/>
    <w:rsid w:val="00065B01"/>
    <w:rsid w:val="00065B42"/>
    <w:rsid w:val="00070ADD"/>
    <w:rsid w:val="000719EC"/>
    <w:rsid w:val="00071B7A"/>
    <w:rsid w:val="00071EAA"/>
    <w:rsid w:val="000730BE"/>
    <w:rsid w:val="000735EC"/>
    <w:rsid w:val="00074775"/>
    <w:rsid w:val="00075F6E"/>
    <w:rsid w:val="00076070"/>
    <w:rsid w:val="0007638E"/>
    <w:rsid w:val="00076FB9"/>
    <w:rsid w:val="00077295"/>
    <w:rsid w:val="0008321C"/>
    <w:rsid w:val="00092D89"/>
    <w:rsid w:val="000967A2"/>
    <w:rsid w:val="000A4239"/>
    <w:rsid w:val="000A4927"/>
    <w:rsid w:val="000A5364"/>
    <w:rsid w:val="000A55FB"/>
    <w:rsid w:val="000A7DDF"/>
    <w:rsid w:val="000B025C"/>
    <w:rsid w:val="000B04E3"/>
    <w:rsid w:val="000B4D39"/>
    <w:rsid w:val="000B5C25"/>
    <w:rsid w:val="000B6471"/>
    <w:rsid w:val="000B7537"/>
    <w:rsid w:val="000C78AA"/>
    <w:rsid w:val="000D3071"/>
    <w:rsid w:val="000D7AD9"/>
    <w:rsid w:val="000E0326"/>
    <w:rsid w:val="000E0B18"/>
    <w:rsid w:val="000E13B5"/>
    <w:rsid w:val="000E3981"/>
    <w:rsid w:val="000E39D1"/>
    <w:rsid w:val="000E511B"/>
    <w:rsid w:val="000E6B44"/>
    <w:rsid w:val="000E738A"/>
    <w:rsid w:val="000E7BE3"/>
    <w:rsid w:val="000E7DB0"/>
    <w:rsid w:val="000F0C63"/>
    <w:rsid w:val="000F0E07"/>
    <w:rsid w:val="000F3071"/>
    <w:rsid w:val="000F48E3"/>
    <w:rsid w:val="000F4B19"/>
    <w:rsid w:val="000F4FF6"/>
    <w:rsid w:val="001011AB"/>
    <w:rsid w:val="001076EF"/>
    <w:rsid w:val="00110BDD"/>
    <w:rsid w:val="001134FE"/>
    <w:rsid w:val="00115319"/>
    <w:rsid w:val="0012147E"/>
    <w:rsid w:val="001219C1"/>
    <w:rsid w:val="001252E1"/>
    <w:rsid w:val="00125D19"/>
    <w:rsid w:val="0012750C"/>
    <w:rsid w:val="00131C10"/>
    <w:rsid w:val="00133CCF"/>
    <w:rsid w:val="00134642"/>
    <w:rsid w:val="001371F1"/>
    <w:rsid w:val="00142ACF"/>
    <w:rsid w:val="00143473"/>
    <w:rsid w:val="00145013"/>
    <w:rsid w:val="001464FA"/>
    <w:rsid w:val="001468A7"/>
    <w:rsid w:val="001469DC"/>
    <w:rsid w:val="00152517"/>
    <w:rsid w:val="00155351"/>
    <w:rsid w:val="001560FD"/>
    <w:rsid w:val="00156A00"/>
    <w:rsid w:val="00160686"/>
    <w:rsid w:val="0016123F"/>
    <w:rsid w:val="00161B1C"/>
    <w:rsid w:val="001629ED"/>
    <w:rsid w:val="00162FEF"/>
    <w:rsid w:val="001652EB"/>
    <w:rsid w:val="00165A13"/>
    <w:rsid w:val="001671A8"/>
    <w:rsid w:val="00167BBA"/>
    <w:rsid w:val="00170E5F"/>
    <w:rsid w:val="00180CB9"/>
    <w:rsid w:val="00180FD1"/>
    <w:rsid w:val="00181852"/>
    <w:rsid w:val="00181ADA"/>
    <w:rsid w:val="0018238F"/>
    <w:rsid w:val="00182F5A"/>
    <w:rsid w:val="001835F6"/>
    <w:rsid w:val="001839F6"/>
    <w:rsid w:val="00186F8E"/>
    <w:rsid w:val="00187CE7"/>
    <w:rsid w:val="001939B2"/>
    <w:rsid w:val="001947E4"/>
    <w:rsid w:val="0019637A"/>
    <w:rsid w:val="001963C8"/>
    <w:rsid w:val="00196E4A"/>
    <w:rsid w:val="001A2430"/>
    <w:rsid w:val="001A3A65"/>
    <w:rsid w:val="001B434F"/>
    <w:rsid w:val="001B6A9B"/>
    <w:rsid w:val="001B7726"/>
    <w:rsid w:val="001C06A1"/>
    <w:rsid w:val="001C0798"/>
    <w:rsid w:val="001C08F2"/>
    <w:rsid w:val="001C1314"/>
    <w:rsid w:val="001C1F7D"/>
    <w:rsid w:val="001C3225"/>
    <w:rsid w:val="001C34A5"/>
    <w:rsid w:val="001C5766"/>
    <w:rsid w:val="001D08DC"/>
    <w:rsid w:val="001D20B2"/>
    <w:rsid w:val="001D28A3"/>
    <w:rsid w:val="001D2F7C"/>
    <w:rsid w:val="001D3597"/>
    <w:rsid w:val="001D49AC"/>
    <w:rsid w:val="001D5F53"/>
    <w:rsid w:val="001D64A4"/>
    <w:rsid w:val="001E062E"/>
    <w:rsid w:val="001E0BDE"/>
    <w:rsid w:val="001E34E0"/>
    <w:rsid w:val="001E5746"/>
    <w:rsid w:val="001E64EF"/>
    <w:rsid w:val="001E7A09"/>
    <w:rsid w:val="001E7C88"/>
    <w:rsid w:val="001F1CBF"/>
    <w:rsid w:val="001F21B4"/>
    <w:rsid w:val="001F243B"/>
    <w:rsid w:val="001F4C1A"/>
    <w:rsid w:val="001F6B77"/>
    <w:rsid w:val="002018A8"/>
    <w:rsid w:val="00204FBE"/>
    <w:rsid w:val="002051E2"/>
    <w:rsid w:val="00206AAC"/>
    <w:rsid w:val="00210A36"/>
    <w:rsid w:val="0021613C"/>
    <w:rsid w:val="00217317"/>
    <w:rsid w:val="002179C9"/>
    <w:rsid w:val="00220EFE"/>
    <w:rsid w:val="00221A9E"/>
    <w:rsid w:val="00222328"/>
    <w:rsid w:val="00222613"/>
    <w:rsid w:val="00222F32"/>
    <w:rsid w:val="0022754D"/>
    <w:rsid w:val="00227C46"/>
    <w:rsid w:val="002335D6"/>
    <w:rsid w:val="00233643"/>
    <w:rsid w:val="00233ADE"/>
    <w:rsid w:val="00233D6B"/>
    <w:rsid w:val="002365C4"/>
    <w:rsid w:val="00236D87"/>
    <w:rsid w:val="002401EC"/>
    <w:rsid w:val="00241085"/>
    <w:rsid w:val="00241C2B"/>
    <w:rsid w:val="00244834"/>
    <w:rsid w:val="00244A15"/>
    <w:rsid w:val="00250408"/>
    <w:rsid w:val="00251437"/>
    <w:rsid w:val="00255161"/>
    <w:rsid w:val="00257741"/>
    <w:rsid w:val="0025794A"/>
    <w:rsid w:val="00257E7C"/>
    <w:rsid w:val="0026273A"/>
    <w:rsid w:val="00262A4F"/>
    <w:rsid w:val="00262D07"/>
    <w:rsid w:val="00263421"/>
    <w:rsid w:val="00263794"/>
    <w:rsid w:val="00265388"/>
    <w:rsid w:val="0026588A"/>
    <w:rsid w:val="00267BF9"/>
    <w:rsid w:val="00267D17"/>
    <w:rsid w:val="00267DAB"/>
    <w:rsid w:val="00270A9B"/>
    <w:rsid w:val="00270CA0"/>
    <w:rsid w:val="00271903"/>
    <w:rsid w:val="00273B10"/>
    <w:rsid w:val="002748A7"/>
    <w:rsid w:val="00281721"/>
    <w:rsid w:val="002834DD"/>
    <w:rsid w:val="00284040"/>
    <w:rsid w:val="00286012"/>
    <w:rsid w:val="00286644"/>
    <w:rsid w:val="00286DD9"/>
    <w:rsid w:val="00287B1F"/>
    <w:rsid w:val="002923D3"/>
    <w:rsid w:val="00292E21"/>
    <w:rsid w:val="00293439"/>
    <w:rsid w:val="00294FBC"/>
    <w:rsid w:val="00296384"/>
    <w:rsid w:val="002A1960"/>
    <w:rsid w:val="002A19FD"/>
    <w:rsid w:val="002A1ED9"/>
    <w:rsid w:val="002A2CCC"/>
    <w:rsid w:val="002A385A"/>
    <w:rsid w:val="002A3E8D"/>
    <w:rsid w:val="002A617A"/>
    <w:rsid w:val="002A61D7"/>
    <w:rsid w:val="002B0FB5"/>
    <w:rsid w:val="002B4480"/>
    <w:rsid w:val="002B7B2A"/>
    <w:rsid w:val="002C08A7"/>
    <w:rsid w:val="002C17A9"/>
    <w:rsid w:val="002C2D56"/>
    <w:rsid w:val="002C56CF"/>
    <w:rsid w:val="002C657E"/>
    <w:rsid w:val="002D2BEA"/>
    <w:rsid w:val="002D2F3C"/>
    <w:rsid w:val="002D3805"/>
    <w:rsid w:val="002E02D5"/>
    <w:rsid w:val="002E1413"/>
    <w:rsid w:val="002E2D82"/>
    <w:rsid w:val="002E44EE"/>
    <w:rsid w:val="002E5537"/>
    <w:rsid w:val="002E649B"/>
    <w:rsid w:val="002E67D1"/>
    <w:rsid w:val="002E6B86"/>
    <w:rsid w:val="002E6CD4"/>
    <w:rsid w:val="002F0D52"/>
    <w:rsid w:val="002F0FB8"/>
    <w:rsid w:val="002F1586"/>
    <w:rsid w:val="002F3589"/>
    <w:rsid w:val="002F4344"/>
    <w:rsid w:val="002F5A0D"/>
    <w:rsid w:val="002F6927"/>
    <w:rsid w:val="002F73C2"/>
    <w:rsid w:val="002F7C54"/>
    <w:rsid w:val="00303252"/>
    <w:rsid w:val="0030397D"/>
    <w:rsid w:val="00307B34"/>
    <w:rsid w:val="003125B8"/>
    <w:rsid w:val="003137CA"/>
    <w:rsid w:val="00314C72"/>
    <w:rsid w:val="00315BF8"/>
    <w:rsid w:val="003175E4"/>
    <w:rsid w:val="003178DC"/>
    <w:rsid w:val="00317C7C"/>
    <w:rsid w:val="003232D2"/>
    <w:rsid w:val="00323EF6"/>
    <w:rsid w:val="003301C0"/>
    <w:rsid w:val="00331A81"/>
    <w:rsid w:val="00331D33"/>
    <w:rsid w:val="00332282"/>
    <w:rsid w:val="00333DB3"/>
    <w:rsid w:val="003356C2"/>
    <w:rsid w:val="003360CA"/>
    <w:rsid w:val="003400CC"/>
    <w:rsid w:val="0034081B"/>
    <w:rsid w:val="003432B4"/>
    <w:rsid w:val="00346DC2"/>
    <w:rsid w:val="00350C52"/>
    <w:rsid w:val="003517B0"/>
    <w:rsid w:val="00352A73"/>
    <w:rsid w:val="00357CE5"/>
    <w:rsid w:val="00357DC2"/>
    <w:rsid w:val="00364EA4"/>
    <w:rsid w:val="003660FB"/>
    <w:rsid w:val="00366D07"/>
    <w:rsid w:val="00367127"/>
    <w:rsid w:val="00371A1B"/>
    <w:rsid w:val="003724E8"/>
    <w:rsid w:val="00373509"/>
    <w:rsid w:val="00374277"/>
    <w:rsid w:val="003746F8"/>
    <w:rsid w:val="00381444"/>
    <w:rsid w:val="00381569"/>
    <w:rsid w:val="00381AD2"/>
    <w:rsid w:val="00382668"/>
    <w:rsid w:val="00382B0C"/>
    <w:rsid w:val="003841A2"/>
    <w:rsid w:val="0038769A"/>
    <w:rsid w:val="00387A2F"/>
    <w:rsid w:val="00391CA4"/>
    <w:rsid w:val="00392D26"/>
    <w:rsid w:val="0039312E"/>
    <w:rsid w:val="00393A70"/>
    <w:rsid w:val="00394059"/>
    <w:rsid w:val="0039430C"/>
    <w:rsid w:val="003968D8"/>
    <w:rsid w:val="003A0337"/>
    <w:rsid w:val="003A1B28"/>
    <w:rsid w:val="003A2000"/>
    <w:rsid w:val="003A2F5F"/>
    <w:rsid w:val="003A35AB"/>
    <w:rsid w:val="003A79DF"/>
    <w:rsid w:val="003A7D4C"/>
    <w:rsid w:val="003B2F3C"/>
    <w:rsid w:val="003B4E47"/>
    <w:rsid w:val="003B72EB"/>
    <w:rsid w:val="003B7FD4"/>
    <w:rsid w:val="003D196F"/>
    <w:rsid w:val="003D3DED"/>
    <w:rsid w:val="003D516D"/>
    <w:rsid w:val="003D5935"/>
    <w:rsid w:val="003E048A"/>
    <w:rsid w:val="003E0B5C"/>
    <w:rsid w:val="003E2034"/>
    <w:rsid w:val="003E27D5"/>
    <w:rsid w:val="003E2BFC"/>
    <w:rsid w:val="003E3110"/>
    <w:rsid w:val="003E384C"/>
    <w:rsid w:val="003E4CF2"/>
    <w:rsid w:val="003E5A1A"/>
    <w:rsid w:val="003E7955"/>
    <w:rsid w:val="003F0A2F"/>
    <w:rsid w:val="003F2CAF"/>
    <w:rsid w:val="003F2E30"/>
    <w:rsid w:val="003F4F70"/>
    <w:rsid w:val="003F6283"/>
    <w:rsid w:val="003F6B03"/>
    <w:rsid w:val="003F74CA"/>
    <w:rsid w:val="0040187D"/>
    <w:rsid w:val="00401AAA"/>
    <w:rsid w:val="0040290E"/>
    <w:rsid w:val="00402F98"/>
    <w:rsid w:val="004049F8"/>
    <w:rsid w:val="00405402"/>
    <w:rsid w:val="00406EC0"/>
    <w:rsid w:val="00410C31"/>
    <w:rsid w:val="0041129A"/>
    <w:rsid w:val="00412137"/>
    <w:rsid w:val="004121D3"/>
    <w:rsid w:val="004143CE"/>
    <w:rsid w:val="0042133F"/>
    <w:rsid w:val="0042148B"/>
    <w:rsid w:val="004234E8"/>
    <w:rsid w:val="00424484"/>
    <w:rsid w:val="00424E69"/>
    <w:rsid w:val="00426E4A"/>
    <w:rsid w:val="00427540"/>
    <w:rsid w:val="00431DE9"/>
    <w:rsid w:val="00434E52"/>
    <w:rsid w:val="00435144"/>
    <w:rsid w:val="00440593"/>
    <w:rsid w:val="00442BFB"/>
    <w:rsid w:val="00445202"/>
    <w:rsid w:val="004539D8"/>
    <w:rsid w:val="004540C3"/>
    <w:rsid w:val="00455BD6"/>
    <w:rsid w:val="00456F79"/>
    <w:rsid w:val="00462E7E"/>
    <w:rsid w:val="00464C28"/>
    <w:rsid w:val="00466D80"/>
    <w:rsid w:val="004678FF"/>
    <w:rsid w:val="00467F04"/>
    <w:rsid w:val="00470F8C"/>
    <w:rsid w:val="004719CB"/>
    <w:rsid w:val="00471D30"/>
    <w:rsid w:val="00471DB2"/>
    <w:rsid w:val="00472066"/>
    <w:rsid w:val="00472A80"/>
    <w:rsid w:val="00474521"/>
    <w:rsid w:val="0047587B"/>
    <w:rsid w:val="00476078"/>
    <w:rsid w:val="004770A5"/>
    <w:rsid w:val="004808EC"/>
    <w:rsid w:val="00483B44"/>
    <w:rsid w:val="004860CF"/>
    <w:rsid w:val="004860DA"/>
    <w:rsid w:val="00486E8F"/>
    <w:rsid w:val="00490E5B"/>
    <w:rsid w:val="004914C4"/>
    <w:rsid w:val="00492313"/>
    <w:rsid w:val="00492C87"/>
    <w:rsid w:val="00494232"/>
    <w:rsid w:val="00494B5C"/>
    <w:rsid w:val="004A250B"/>
    <w:rsid w:val="004A43DF"/>
    <w:rsid w:val="004A4D0A"/>
    <w:rsid w:val="004A4EA7"/>
    <w:rsid w:val="004A5312"/>
    <w:rsid w:val="004A7A13"/>
    <w:rsid w:val="004B0649"/>
    <w:rsid w:val="004B2D84"/>
    <w:rsid w:val="004B3593"/>
    <w:rsid w:val="004B363E"/>
    <w:rsid w:val="004B3D5F"/>
    <w:rsid w:val="004B538D"/>
    <w:rsid w:val="004B6C60"/>
    <w:rsid w:val="004B743D"/>
    <w:rsid w:val="004C41DD"/>
    <w:rsid w:val="004C4DE5"/>
    <w:rsid w:val="004C5B37"/>
    <w:rsid w:val="004C71CB"/>
    <w:rsid w:val="004D1FD5"/>
    <w:rsid w:val="004D2A33"/>
    <w:rsid w:val="004D637E"/>
    <w:rsid w:val="004E16D0"/>
    <w:rsid w:val="004E273E"/>
    <w:rsid w:val="004E311A"/>
    <w:rsid w:val="004E3D3E"/>
    <w:rsid w:val="004E428A"/>
    <w:rsid w:val="004E71B9"/>
    <w:rsid w:val="004F2B01"/>
    <w:rsid w:val="004F3510"/>
    <w:rsid w:val="004F5DB7"/>
    <w:rsid w:val="005011C9"/>
    <w:rsid w:val="00507E07"/>
    <w:rsid w:val="0051432E"/>
    <w:rsid w:val="00514330"/>
    <w:rsid w:val="005153BC"/>
    <w:rsid w:val="00516B78"/>
    <w:rsid w:val="0052079E"/>
    <w:rsid w:val="00521DA5"/>
    <w:rsid w:val="00522B68"/>
    <w:rsid w:val="005243DF"/>
    <w:rsid w:val="00526BE5"/>
    <w:rsid w:val="00530545"/>
    <w:rsid w:val="00530E1D"/>
    <w:rsid w:val="00531AD7"/>
    <w:rsid w:val="00531E3F"/>
    <w:rsid w:val="00531F8B"/>
    <w:rsid w:val="005346A7"/>
    <w:rsid w:val="00534D3A"/>
    <w:rsid w:val="00540F83"/>
    <w:rsid w:val="00541EAC"/>
    <w:rsid w:val="00543A1D"/>
    <w:rsid w:val="00544099"/>
    <w:rsid w:val="0054410F"/>
    <w:rsid w:val="005513F2"/>
    <w:rsid w:val="0055169A"/>
    <w:rsid w:val="00551C88"/>
    <w:rsid w:val="00552AC1"/>
    <w:rsid w:val="00554059"/>
    <w:rsid w:val="00560449"/>
    <w:rsid w:val="00563787"/>
    <w:rsid w:val="005638DF"/>
    <w:rsid w:val="00565476"/>
    <w:rsid w:val="00566920"/>
    <w:rsid w:val="00566C77"/>
    <w:rsid w:val="0057171B"/>
    <w:rsid w:val="005745CA"/>
    <w:rsid w:val="005759C0"/>
    <w:rsid w:val="00575EA1"/>
    <w:rsid w:val="00581995"/>
    <w:rsid w:val="0058298E"/>
    <w:rsid w:val="005838C5"/>
    <w:rsid w:val="00585147"/>
    <w:rsid w:val="005906CE"/>
    <w:rsid w:val="00590BB8"/>
    <w:rsid w:val="00595549"/>
    <w:rsid w:val="0059730B"/>
    <w:rsid w:val="00597A08"/>
    <w:rsid w:val="005A0BC6"/>
    <w:rsid w:val="005A1248"/>
    <w:rsid w:val="005A12E7"/>
    <w:rsid w:val="005A18D0"/>
    <w:rsid w:val="005A6523"/>
    <w:rsid w:val="005A6D09"/>
    <w:rsid w:val="005A781A"/>
    <w:rsid w:val="005A7B73"/>
    <w:rsid w:val="005B0624"/>
    <w:rsid w:val="005B19A5"/>
    <w:rsid w:val="005B2E6D"/>
    <w:rsid w:val="005C0056"/>
    <w:rsid w:val="005C150F"/>
    <w:rsid w:val="005C1962"/>
    <w:rsid w:val="005C2AD5"/>
    <w:rsid w:val="005C32AE"/>
    <w:rsid w:val="005C599A"/>
    <w:rsid w:val="005D2B45"/>
    <w:rsid w:val="005D7B50"/>
    <w:rsid w:val="005E03BC"/>
    <w:rsid w:val="005E28BE"/>
    <w:rsid w:val="005E436A"/>
    <w:rsid w:val="005E4F21"/>
    <w:rsid w:val="005E55E0"/>
    <w:rsid w:val="005E635A"/>
    <w:rsid w:val="005E637F"/>
    <w:rsid w:val="005F1892"/>
    <w:rsid w:val="005F65A2"/>
    <w:rsid w:val="0060297D"/>
    <w:rsid w:val="0060421D"/>
    <w:rsid w:val="00610892"/>
    <w:rsid w:val="00613F30"/>
    <w:rsid w:val="006157D3"/>
    <w:rsid w:val="00620212"/>
    <w:rsid w:val="00622EF6"/>
    <w:rsid w:val="00623D05"/>
    <w:rsid w:val="00624DD2"/>
    <w:rsid w:val="00626CC6"/>
    <w:rsid w:val="00626CFC"/>
    <w:rsid w:val="006302BD"/>
    <w:rsid w:val="0063249F"/>
    <w:rsid w:val="0063285C"/>
    <w:rsid w:val="00637384"/>
    <w:rsid w:val="00637E3B"/>
    <w:rsid w:val="00640021"/>
    <w:rsid w:val="006426F1"/>
    <w:rsid w:val="00642B24"/>
    <w:rsid w:val="0064516D"/>
    <w:rsid w:val="00647F46"/>
    <w:rsid w:val="00647F7A"/>
    <w:rsid w:val="00650852"/>
    <w:rsid w:val="00651060"/>
    <w:rsid w:val="00653752"/>
    <w:rsid w:val="0065534E"/>
    <w:rsid w:val="006554A5"/>
    <w:rsid w:val="00655E1F"/>
    <w:rsid w:val="00655F18"/>
    <w:rsid w:val="0066412A"/>
    <w:rsid w:val="00667063"/>
    <w:rsid w:val="00667867"/>
    <w:rsid w:val="0067131E"/>
    <w:rsid w:val="00671FED"/>
    <w:rsid w:val="00675077"/>
    <w:rsid w:val="006779E4"/>
    <w:rsid w:val="00685085"/>
    <w:rsid w:val="0068545E"/>
    <w:rsid w:val="00685E14"/>
    <w:rsid w:val="0069284C"/>
    <w:rsid w:val="006928D0"/>
    <w:rsid w:val="00695324"/>
    <w:rsid w:val="00697357"/>
    <w:rsid w:val="006976AF"/>
    <w:rsid w:val="006A2BCD"/>
    <w:rsid w:val="006A4457"/>
    <w:rsid w:val="006A4988"/>
    <w:rsid w:val="006A4F6C"/>
    <w:rsid w:val="006A511A"/>
    <w:rsid w:val="006A64B6"/>
    <w:rsid w:val="006B00BD"/>
    <w:rsid w:val="006B02AB"/>
    <w:rsid w:val="006B0ED2"/>
    <w:rsid w:val="006B2B6E"/>
    <w:rsid w:val="006B3899"/>
    <w:rsid w:val="006B59EF"/>
    <w:rsid w:val="006B677F"/>
    <w:rsid w:val="006C0F10"/>
    <w:rsid w:val="006C2679"/>
    <w:rsid w:val="006C272A"/>
    <w:rsid w:val="006C2A5E"/>
    <w:rsid w:val="006C31C0"/>
    <w:rsid w:val="006C5F6B"/>
    <w:rsid w:val="006D02FC"/>
    <w:rsid w:val="006D1349"/>
    <w:rsid w:val="006D14AF"/>
    <w:rsid w:val="006D4DEC"/>
    <w:rsid w:val="006D5419"/>
    <w:rsid w:val="006E0777"/>
    <w:rsid w:val="006E101A"/>
    <w:rsid w:val="006E137C"/>
    <w:rsid w:val="006E2728"/>
    <w:rsid w:val="006E3270"/>
    <w:rsid w:val="006E36FD"/>
    <w:rsid w:val="006E3EE5"/>
    <w:rsid w:val="006E7FE4"/>
    <w:rsid w:val="006F02EB"/>
    <w:rsid w:val="006F0A6A"/>
    <w:rsid w:val="006F68EF"/>
    <w:rsid w:val="007027C8"/>
    <w:rsid w:val="00704082"/>
    <w:rsid w:val="007040C5"/>
    <w:rsid w:val="00705A4E"/>
    <w:rsid w:val="00707B53"/>
    <w:rsid w:val="00707FDF"/>
    <w:rsid w:val="00710331"/>
    <w:rsid w:val="00712345"/>
    <w:rsid w:val="00713BE9"/>
    <w:rsid w:val="00714019"/>
    <w:rsid w:val="007225C6"/>
    <w:rsid w:val="00724BF6"/>
    <w:rsid w:val="00725CE3"/>
    <w:rsid w:val="00726F4D"/>
    <w:rsid w:val="00730F28"/>
    <w:rsid w:val="007339C4"/>
    <w:rsid w:val="007345F8"/>
    <w:rsid w:val="00735B04"/>
    <w:rsid w:val="00737B30"/>
    <w:rsid w:val="00741D65"/>
    <w:rsid w:val="00742514"/>
    <w:rsid w:val="00742595"/>
    <w:rsid w:val="00742FDB"/>
    <w:rsid w:val="00743AC7"/>
    <w:rsid w:val="00744952"/>
    <w:rsid w:val="007460A0"/>
    <w:rsid w:val="00752D5F"/>
    <w:rsid w:val="00752EFC"/>
    <w:rsid w:val="00754AF2"/>
    <w:rsid w:val="00755508"/>
    <w:rsid w:val="007574FE"/>
    <w:rsid w:val="00757933"/>
    <w:rsid w:val="00776B2A"/>
    <w:rsid w:val="0078117B"/>
    <w:rsid w:val="007830F3"/>
    <w:rsid w:val="00783749"/>
    <w:rsid w:val="00784DB9"/>
    <w:rsid w:val="00785CCC"/>
    <w:rsid w:val="00785E36"/>
    <w:rsid w:val="007870D5"/>
    <w:rsid w:val="00787807"/>
    <w:rsid w:val="007906A6"/>
    <w:rsid w:val="00790AE2"/>
    <w:rsid w:val="00792019"/>
    <w:rsid w:val="00792F3E"/>
    <w:rsid w:val="00793707"/>
    <w:rsid w:val="00794BCC"/>
    <w:rsid w:val="00796249"/>
    <w:rsid w:val="007A0FCD"/>
    <w:rsid w:val="007A2B07"/>
    <w:rsid w:val="007A2B87"/>
    <w:rsid w:val="007A5A86"/>
    <w:rsid w:val="007A6555"/>
    <w:rsid w:val="007A66C8"/>
    <w:rsid w:val="007B0F4F"/>
    <w:rsid w:val="007B141F"/>
    <w:rsid w:val="007B1788"/>
    <w:rsid w:val="007B2776"/>
    <w:rsid w:val="007B281C"/>
    <w:rsid w:val="007B55D0"/>
    <w:rsid w:val="007B60E6"/>
    <w:rsid w:val="007B6C58"/>
    <w:rsid w:val="007B7E1E"/>
    <w:rsid w:val="007C123F"/>
    <w:rsid w:val="007C2455"/>
    <w:rsid w:val="007C5A61"/>
    <w:rsid w:val="007C7079"/>
    <w:rsid w:val="007C71F9"/>
    <w:rsid w:val="007C74D6"/>
    <w:rsid w:val="007D0DA7"/>
    <w:rsid w:val="007D1897"/>
    <w:rsid w:val="007D2269"/>
    <w:rsid w:val="007D267E"/>
    <w:rsid w:val="007D28D2"/>
    <w:rsid w:val="007D3964"/>
    <w:rsid w:val="007D58F5"/>
    <w:rsid w:val="007D73B2"/>
    <w:rsid w:val="007E03D8"/>
    <w:rsid w:val="007E2F59"/>
    <w:rsid w:val="007E3E39"/>
    <w:rsid w:val="007E6F5B"/>
    <w:rsid w:val="007F047F"/>
    <w:rsid w:val="007F4C8C"/>
    <w:rsid w:val="007F68AE"/>
    <w:rsid w:val="007F6AC3"/>
    <w:rsid w:val="008008D2"/>
    <w:rsid w:val="0080294F"/>
    <w:rsid w:val="0080431B"/>
    <w:rsid w:val="008047DD"/>
    <w:rsid w:val="00804961"/>
    <w:rsid w:val="00805D6E"/>
    <w:rsid w:val="00810332"/>
    <w:rsid w:val="00810D58"/>
    <w:rsid w:val="008112BE"/>
    <w:rsid w:val="00814D41"/>
    <w:rsid w:val="00815A8F"/>
    <w:rsid w:val="0082124D"/>
    <w:rsid w:val="008248FC"/>
    <w:rsid w:val="008266A8"/>
    <w:rsid w:val="0083055A"/>
    <w:rsid w:val="00833A10"/>
    <w:rsid w:val="008370BE"/>
    <w:rsid w:val="00840C3D"/>
    <w:rsid w:val="008432C6"/>
    <w:rsid w:val="00843ECD"/>
    <w:rsid w:val="0084604A"/>
    <w:rsid w:val="00847234"/>
    <w:rsid w:val="0085146C"/>
    <w:rsid w:val="00852A16"/>
    <w:rsid w:val="00854129"/>
    <w:rsid w:val="008554B9"/>
    <w:rsid w:val="00855B9E"/>
    <w:rsid w:val="00856ED5"/>
    <w:rsid w:val="008572F9"/>
    <w:rsid w:val="00860052"/>
    <w:rsid w:val="00861CEA"/>
    <w:rsid w:val="00861D28"/>
    <w:rsid w:val="00864261"/>
    <w:rsid w:val="00865BCF"/>
    <w:rsid w:val="008660F5"/>
    <w:rsid w:val="0087517A"/>
    <w:rsid w:val="00875728"/>
    <w:rsid w:val="00876ABB"/>
    <w:rsid w:val="0087757E"/>
    <w:rsid w:val="00880788"/>
    <w:rsid w:val="00882AB6"/>
    <w:rsid w:val="008831E0"/>
    <w:rsid w:val="00884FF1"/>
    <w:rsid w:val="00887DA9"/>
    <w:rsid w:val="008926C2"/>
    <w:rsid w:val="0089553C"/>
    <w:rsid w:val="008963F4"/>
    <w:rsid w:val="008A0A63"/>
    <w:rsid w:val="008A2E01"/>
    <w:rsid w:val="008A3AB9"/>
    <w:rsid w:val="008A6B5D"/>
    <w:rsid w:val="008A7CC5"/>
    <w:rsid w:val="008B05AC"/>
    <w:rsid w:val="008B2927"/>
    <w:rsid w:val="008B7BFC"/>
    <w:rsid w:val="008C3366"/>
    <w:rsid w:val="008C4DC8"/>
    <w:rsid w:val="008C5834"/>
    <w:rsid w:val="008D113F"/>
    <w:rsid w:val="008D3DE1"/>
    <w:rsid w:val="008D62D8"/>
    <w:rsid w:val="008E01A2"/>
    <w:rsid w:val="008E16D0"/>
    <w:rsid w:val="008E1F48"/>
    <w:rsid w:val="008E71D0"/>
    <w:rsid w:val="008F52F0"/>
    <w:rsid w:val="008F591E"/>
    <w:rsid w:val="009005BD"/>
    <w:rsid w:val="00901323"/>
    <w:rsid w:val="00902602"/>
    <w:rsid w:val="00903644"/>
    <w:rsid w:val="00903947"/>
    <w:rsid w:val="00905979"/>
    <w:rsid w:val="0090613A"/>
    <w:rsid w:val="009074D0"/>
    <w:rsid w:val="009144FB"/>
    <w:rsid w:val="00914EEF"/>
    <w:rsid w:val="0091540E"/>
    <w:rsid w:val="00915C30"/>
    <w:rsid w:val="0091646B"/>
    <w:rsid w:val="00920200"/>
    <w:rsid w:val="009220D1"/>
    <w:rsid w:val="009237C7"/>
    <w:rsid w:val="00923814"/>
    <w:rsid w:val="009256F7"/>
    <w:rsid w:val="009342F5"/>
    <w:rsid w:val="0093443A"/>
    <w:rsid w:val="00935F71"/>
    <w:rsid w:val="009364F1"/>
    <w:rsid w:val="00937060"/>
    <w:rsid w:val="00940A35"/>
    <w:rsid w:val="00942B30"/>
    <w:rsid w:val="0094309D"/>
    <w:rsid w:val="00943B68"/>
    <w:rsid w:val="0095037C"/>
    <w:rsid w:val="00956D45"/>
    <w:rsid w:val="0095778B"/>
    <w:rsid w:val="009659A4"/>
    <w:rsid w:val="0096630F"/>
    <w:rsid w:val="00970424"/>
    <w:rsid w:val="009708BA"/>
    <w:rsid w:val="00971BDF"/>
    <w:rsid w:val="00971EFA"/>
    <w:rsid w:val="009750E7"/>
    <w:rsid w:val="00975A76"/>
    <w:rsid w:val="0098150C"/>
    <w:rsid w:val="009858D6"/>
    <w:rsid w:val="00986EB0"/>
    <w:rsid w:val="00991200"/>
    <w:rsid w:val="00996E12"/>
    <w:rsid w:val="009A019C"/>
    <w:rsid w:val="009A1A6F"/>
    <w:rsid w:val="009A4EC9"/>
    <w:rsid w:val="009A62C5"/>
    <w:rsid w:val="009B2AE3"/>
    <w:rsid w:val="009B2E8A"/>
    <w:rsid w:val="009B3C61"/>
    <w:rsid w:val="009B4AE2"/>
    <w:rsid w:val="009C149E"/>
    <w:rsid w:val="009C3A06"/>
    <w:rsid w:val="009C3F85"/>
    <w:rsid w:val="009C4180"/>
    <w:rsid w:val="009C58F1"/>
    <w:rsid w:val="009C59FA"/>
    <w:rsid w:val="009C5F0B"/>
    <w:rsid w:val="009D244A"/>
    <w:rsid w:val="009D56B4"/>
    <w:rsid w:val="009D5D31"/>
    <w:rsid w:val="009E25A6"/>
    <w:rsid w:val="009E4FD5"/>
    <w:rsid w:val="009E7A37"/>
    <w:rsid w:val="009F2546"/>
    <w:rsid w:val="009F291A"/>
    <w:rsid w:val="009F2AA1"/>
    <w:rsid w:val="009F2EEB"/>
    <w:rsid w:val="009F3885"/>
    <w:rsid w:val="009F3BEB"/>
    <w:rsid w:val="009F568F"/>
    <w:rsid w:val="009F6CC9"/>
    <w:rsid w:val="00A00160"/>
    <w:rsid w:val="00A00D9C"/>
    <w:rsid w:val="00A0235D"/>
    <w:rsid w:val="00A04818"/>
    <w:rsid w:val="00A0524F"/>
    <w:rsid w:val="00A06910"/>
    <w:rsid w:val="00A10CAE"/>
    <w:rsid w:val="00A1108A"/>
    <w:rsid w:val="00A11C52"/>
    <w:rsid w:val="00A1699D"/>
    <w:rsid w:val="00A16ECE"/>
    <w:rsid w:val="00A20D8A"/>
    <w:rsid w:val="00A21273"/>
    <w:rsid w:val="00A247AA"/>
    <w:rsid w:val="00A26B53"/>
    <w:rsid w:val="00A31BAB"/>
    <w:rsid w:val="00A32EC2"/>
    <w:rsid w:val="00A3497B"/>
    <w:rsid w:val="00A42CA3"/>
    <w:rsid w:val="00A42EA6"/>
    <w:rsid w:val="00A446FF"/>
    <w:rsid w:val="00A44FF5"/>
    <w:rsid w:val="00A528E2"/>
    <w:rsid w:val="00A539F6"/>
    <w:rsid w:val="00A54576"/>
    <w:rsid w:val="00A54D47"/>
    <w:rsid w:val="00A56734"/>
    <w:rsid w:val="00A570DE"/>
    <w:rsid w:val="00A572A2"/>
    <w:rsid w:val="00A6010C"/>
    <w:rsid w:val="00A613A3"/>
    <w:rsid w:val="00A6524F"/>
    <w:rsid w:val="00A65BFA"/>
    <w:rsid w:val="00A71DC6"/>
    <w:rsid w:val="00A72DE3"/>
    <w:rsid w:val="00A73048"/>
    <w:rsid w:val="00A7344F"/>
    <w:rsid w:val="00A73F3D"/>
    <w:rsid w:val="00A74599"/>
    <w:rsid w:val="00A74D19"/>
    <w:rsid w:val="00A80022"/>
    <w:rsid w:val="00A81A9C"/>
    <w:rsid w:val="00A820AC"/>
    <w:rsid w:val="00A8624A"/>
    <w:rsid w:val="00A957E5"/>
    <w:rsid w:val="00A95AAB"/>
    <w:rsid w:val="00A95CB7"/>
    <w:rsid w:val="00A96114"/>
    <w:rsid w:val="00A963CD"/>
    <w:rsid w:val="00A97053"/>
    <w:rsid w:val="00AA1F39"/>
    <w:rsid w:val="00AA2FA2"/>
    <w:rsid w:val="00AA3FCD"/>
    <w:rsid w:val="00AA5594"/>
    <w:rsid w:val="00AA74CD"/>
    <w:rsid w:val="00AB10B2"/>
    <w:rsid w:val="00AB120C"/>
    <w:rsid w:val="00AB1D4A"/>
    <w:rsid w:val="00AB2A72"/>
    <w:rsid w:val="00AB5738"/>
    <w:rsid w:val="00AC01C0"/>
    <w:rsid w:val="00AC077E"/>
    <w:rsid w:val="00AC29DD"/>
    <w:rsid w:val="00AC4821"/>
    <w:rsid w:val="00AC6EF9"/>
    <w:rsid w:val="00AC72BC"/>
    <w:rsid w:val="00AD0276"/>
    <w:rsid w:val="00AD0FC5"/>
    <w:rsid w:val="00AD1F65"/>
    <w:rsid w:val="00AD4E2D"/>
    <w:rsid w:val="00AD5916"/>
    <w:rsid w:val="00AD666B"/>
    <w:rsid w:val="00AD6A52"/>
    <w:rsid w:val="00AD6C25"/>
    <w:rsid w:val="00AD7BF1"/>
    <w:rsid w:val="00AE0566"/>
    <w:rsid w:val="00AE1102"/>
    <w:rsid w:val="00AE48E1"/>
    <w:rsid w:val="00AE4FEC"/>
    <w:rsid w:val="00AE57A4"/>
    <w:rsid w:val="00AE5F22"/>
    <w:rsid w:val="00AF20CF"/>
    <w:rsid w:val="00AF46D5"/>
    <w:rsid w:val="00AF52C9"/>
    <w:rsid w:val="00AF6864"/>
    <w:rsid w:val="00AF7017"/>
    <w:rsid w:val="00B01790"/>
    <w:rsid w:val="00B057BC"/>
    <w:rsid w:val="00B064EC"/>
    <w:rsid w:val="00B069FB"/>
    <w:rsid w:val="00B07537"/>
    <w:rsid w:val="00B10052"/>
    <w:rsid w:val="00B12EFF"/>
    <w:rsid w:val="00B14149"/>
    <w:rsid w:val="00B15C9B"/>
    <w:rsid w:val="00B17401"/>
    <w:rsid w:val="00B21EFE"/>
    <w:rsid w:val="00B221F3"/>
    <w:rsid w:val="00B26E25"/>
    <w:rsid w:val="00B27484"/>
    <w:rsid w:val="00B27BD6"/>
    <w:rsid w:val="00B3025C"/>
    <w:rsid w:val="00B307AD"/>
    <w:rsid w:val="00B30C63"/>
    <w:rsid w:val="00B315E7"/>
    <w:rsid w:val="00B316D0"/>
    <w:rsid w:val="00B32B1A"/>
    <w:rsid w:val="00B32D0A"/>
    <w:rsid w:val="00B33713"/>
    <w:rsid w:val="00B41E26"/>
    <w:rsid w:val="00B42A8D"/>
    <w:rsid w:val="00B43CEC"/>
    <w:rsid w:val="00B44D39"/>
    <w:rsid w:val="00B47B70"/>
    <w:rsid w:val="00B505EB"/>
    <w:rsid w:val="00B51607"/>
    <w:rsid w:val="00B56048"/>
    <w:rsid w:val="00B60A0F"/>
    <w:rsid w:val="00B60B96"/>
    <w:rsid w:val="00B7009E"/>
    <w:rsid w:val="00B70D1B"/>
    <w:rsid w:val="00B7384A"/>
    <w:rsid w:val="00B75EA5"/>
    <w:rsid w:val="00B7634E"/>
    <w:rsid w:val="00B819F6"/>
    <w:rsid w:val="00B81EAA"/>
    <w:rsid w:val="00B83C34"/>
    <w:rsid w:val="00B905C7"/>
    <w:rsid w:val="00B90733"/>
    <w:rsid w:val="00B95871"/>
    <w:rsid w:val="00BA0B8A"/>
    <w:rsid w:val="00BA3680"/>
    <w:rsid w:val="00BA3E38"/>
    <w:rsid w:val="00BA5557"/>
    <w:rsid w:val="00BB0320"/>
    <w:rsid w:val="00BB0769"/>
    <w:rsid w:val="00BB34F0"/>
    <w:rsid w:val="00BB35E0"/>
    <w:rsid w:val="00BB3B4C"/>
    <w:rsid w:val="00BB4EC7"/>
    <w:rsid w:val="00BB6CE1"/>
    <w:rsid w:val="00BB76BB"/>
    <w:rsid w:val="00BC0D2A"/>
    <w:rsid w:val="00BC17EA"/>
    <w:rsid w:val="00BC18D5"/>
    <w:rsid w:val="00BC2C4F"/>
    <w:rsid w:val="00BC77CE"/>
    <w:rsid w:val="00BD1557"/>
    <w:rsid w:val="00BD207B"/>
    <w:rsid w:val="00BD4466"/>
    <w:rsid w:val="00BD636E"/>
    <w:rsid w:val="00BE1303"/>
    <w:rsid w:val="00BE64BD"/>
    <w:rsid w:val="00BF076C"/>
    <w:rsid w:val="00BF1905"/>
    <w:rsid w:val="00BF1B88"/>
    <w:rsid w:val="00BF27DB"/>
    <w:rsid w:val="00BF2F43"/>
    <w:rsid w:val="00BF31A7"/>
    <w:rsid w:val="00BF3CAA"/>
    <w:rsid w:val="00BF525F"/>
    <w:rsid w:val="00BF5E80"/>
    <w:rsid w:val="00BF66F9"/>
    <w:rsid w:val="00BF6BF8"/>
    <w:rsid w:val="00BF7D47"/>
    <w:rsid w:val="00C038E1"/>
    <w:rsid w:val="00C06650"/>
    <w:rsid w:val="00C074C8"/>
    <w:rsid w:val="00C1139B"/>
    <w:rsid w:val="00C124A6"/>
    <w:rsid w:val="00C13E5E"/>
    <w:rsid w:val="00C15C2D"/>
    <w:rsid w:val="00C17ADD"/>
    <w:rsid w:val="00C20030"/>
    <w:rsid w:val="00C2731D"/>
    <w:rsid w:val="00C276C3"/>
    <w:rsid w:val="00C305CC"/>
    <w:rsid w:val="00C309A4"/>
    <w:rsid w:val="00C31775"/>
    <w:rsid w:val="00C342D3"/>
    <w:rsid w:val="00C36222"/>
    <w:rsid w:val="00C37748"/>
    <w:rsid w:val="00C379C9"/>
    <w:rsid w:val="00C40125"/>
    <w:rsid w:val="00C408AA"/>
    <w:rsid w:val="00C40C86"/>
    <w:rsid w:val="00C41F66"/>
    <w:rsid w:val="00C433F3"/>
    <w:rsid w:val="00C44B22"/>
    <w:rsid w:val="00C453D6"/>
    <w:rsid w:val="00C462F1"/>
    <w:rsid w:val="00C46E27"/>
    <w:rsid w:val="00C52398"/>
    <w:rsid w:val="00C535D5"/>
    <w:rsid w:val="00C552F2"/>
    <w:rsid w:val="00C55D0D"/>
    <w:rsid w:val="00C60F67"/>
    <w:rsid w:val="00C6251A"/>
    <w:rsid w:val="00C63EAC"/>
    <w:rsid w:val="00C657B8"/>
    <w:rsid w:val="00C65E9F"/>
    <w:rsid w:val="00C66537"/>
    <w:rsid w:val="00C666D4"/>
    <w:rsid w:val="00C66C95"/>
    <w:rsid w:val="00C67EF7"/>
    <w:rsid w:val="00C67F0F"/>
    <w:rsid w:val="00C714B2"/>
    <w:rsid w:val="00C71A3D"/>
    <w:rsid w:val="00C72301"/>
    <w:rsid w:val="00C72517"/>
    <w:rsid w:val="00C7269B"/>
    <w:rsid w:val="00C74328"/>
    <w:rsid w:val="00C75F96"/>
    <w:rsid w:val="00C76C14"/>
    <w:rsid w:val="00C803ED"/>
    <w:rsid w:val="00C81B8D"/>
    <w:rsid w:val="00C82466"/>
    <w:rsid w:val="00C83501"/>
    <w:rsid w:val="00C837CB"/>
    <w:rsid w:val="00C847D6"/>
    <w:rsid w:val="00C905D2"/>
    <w:rsid w:val="00C91B04"/>
    <w:rsid w:val="00C92170"/>
    <w:rsid w:val="00C9235D"/>
    <w:rsid w:val="00C9275D"/>
    <w:rsid w:val="00C933DB"/>
    <w:rsid w:val="00C9579C"/>
    <w:rsid w:val="00C957A2"/>
    <w:rsid w:val="00CA047C"/>
    <w:rsid w:val="00CA1496"/>
    <w:rsid w:val="00CA1EF5"/>
    <w:rsid w:val="00CA3A38"/>
    <w:rsid w:val="00CA3FF5"/>
    <w:rsid w:val="00CB05E0"/>
    <w:rsid w:val="00CB1188"/>
    <w:rsid w:val="00CB6898"/>
    <w:rsid w:val="00CC3278"/>
    <w:rsid w:val="00CC3ED8"/>
    <w:rsid w:val="00CC489D"/>
    <w:rsid w:val="00CC60D9"/>
    <w:rsid w:val="00CD2F57"/>
    <w:rsid w:val="00CD319B"/>
    <w:rsid w:val="00CD6939"/>
    <w:rsid w:val="00CE106A"/>
    <w:rsid w:val="00CE2DBA"/>
    <w:rsid w:val="00CE3535"/>
    <w:rsid w:val="00CE4421"/>
    <w:rsid w:val="00CE4A7D"/>
    <w:rsid w:val="00CE7CE4"/>
    <w:rsid w:val="00CF0B7A"/>
    <w:rsid w:val="00CF5245"/>
    <w:rsid w:val="00CF63CD"/>
    <w:rsid w:val="00CF6B73"/>
    <w:rsid w:val="00CF7E32"/>
    <w:rsid w:val="00D02365"/>
    <w:rsid w:val="00D0252C"/>
    <w:rsid w:val="00D02F19"/>
    <w:rsid w:val="00D03F0B"/>
    <w:rsid w:val="00D05AA9"/>
    <w:rsid w:val="00D07A39"/>
    <w:rsid w:val="00D1063C"/>
    <w:rsid w:val="00D114FA"/>
    <w:rsid w:val="00D12102"/>
    <w:rsid w:val="00D137FF"/>
    <w:rsid w:val="00D155E6"/>
    <w:rsid w:val="00D15F58"/>
    <w:rsid w:val="00D234E5"/>
    <w:rsid w:val="00D243DD"/>
    <w:rsid w:val="00D24774"/>
    <w:rsid w:val="00D26984"/>
    <w:rsid w:val="00D34932"/>
    <w:rsid w:val="00D34EA3"/>
    <w:rsid w:val="00D36046"/>
    <w:rsid w:val="00D37ABE"/>
    <w:rsid w:val="00D41CF4"/>
    <w:rsid w:val="00D42B49"/>
    <w:rsid w:val="00D43A6A"/>
    <w:rsid w:val="00D44379"/>
    <w:rsid w:val="00D45BC9"/>
    <w:rsid w:val="00D50030"/>
    <w:rsid w:val="00D50E58"/>
    <w:rsid w:val="00D510C1"/>
    <w:rsid w:val="00D6098A"/>
    <w:rsid w:val="00D612B9"/>
    <w:rsid w:val="00D62734"/>
    <w:rsid w:val="00D6332B"/>
    <w:rsid w:val="00D63B43"/>
    <w:rsid w:val="00D654A8"/>
    <w:rsid w:val="00D655D2"/>
    <w:rsid w:val="00D67E49"/>
    <w:rsid w:val="00D70E1C"/>
    <w:rsid w:val="00D71053"/>
    <w:rsid w:val="00D7381B"/>
    <w:rsid w:val="00D73EC7"/>
    <w:rsid w:val="00D740DA"/>
    <w:rsid w:val="00D845A0"/>
    <w:rsid w:val="00D84EF8"/>
    <w:rsid w:val="00D86857"/>
    <w:rsid w:val="00D87442"/>
    <w:rsid w:val="00D91AFC"/>
    <w:rsid w:val="00D91E11"/>
    <w:rsid w:val="00D91F83"/>
    <w:rsid w:val="00DA499C"/>
    <w:rsid w:val="00DA6613"/>
    <w:rsid w:val="00DA74C4"/>
    <w:rsid w:val="00DA7795"/>
    <w:rsid w:val="00DB0D5C"/>
    <w:rsid w:val="00DB1ED7"/>
    <w:rsid w:val="00DB38CC"/>
    <w:rsid w:val="00DB3956"/>
    <w:rsid w:val="00DB4EED"/>
    <w:rsid w:val="00DB74CB"/>
    <w:rsid w:val="00DB7538"/>
    <w:rsid w:val="00DB76BE"/>
    <w:rsid w:val="00DC3125"/>
    <w:rsid w:val="00DC3BA9"/>
    <w:rsid w:val="00DC4417"/>
    <w:rsid w:val="00DC529F"/>
    <w:rsid w:val="00DC6172"/>
    <w:rsid w:val="00DC797D"/>
    <w:rsid w:val="00DC7DF3"/>
    <w:rsid w:val="00DD0848"/>
    <w:rsid w:val="00DD0949"/>
    <w:rsid w:val="00DD0A55"/>
    <w:rsid w:val="00DD28C5"/>
    <w:rsid w:val="00DD3805"/>
    <w:rsid w:val="00DD4FD6"/>
    <w:rsid w:val="00DE275F"/>
    <w:rsid w:val="00DE401B"/>
    <w:rsid w:val="00DE792D"/>
    <w:rsid w:val="00DE7B6A"/>
    <w:rsid w:val="00DE7FF1"/>
    <w:rsid w:val="00DF019E"/>
    <w:rsid w:val="00DF0BF6"/>
    <w:rsid w:val="00DF1E88"/>
    <w:rsid w:val="00DF2EA3"/>
    <w:rsid w:val="00DF62ED"/>
    <w:rsid w:val="00DF6FAC"/>
    <w:rsid w:val="00E01F83"/>
    <w:rsid w:val="00E0237F"/>
    <w:rsid w:val="00E033E1"/>
    <w:rsid w:val="00E06099"/>
    <w:rsid w:val="00E10276"/>
    <w:rsid w:val="00E134F2"/>
    <w:rsid w:val="00E1583C"/>
    <w:rsid w:val="00E161B4"/>
    <w:rsid w:val="00E16A6C"/>
    <w:rsid w:val="00E17913"/>
    <w:rsid w:val="00E22166"/>
    <w:rsid w:val="00E22C8C"/>
    <w:rsid w:val="00E22FF4"/>
    <w:rsid w:val="00E26466"/>
    <w:rsid w:val="00E2749C"/>
    <w:rsid w:val="00E27E6B"/>
    <w:rsid w:val="00E30750"/>
    <w:rsid w:val="00E315A1"/>
    <w:rsid w:val="00E31D1F"/>
    <w:rsid w:val="00E3351C"/>
    <w:rsid w:val="00E34058"/>
    <w:rsid w:val="00E35280"/>
    <w:rsid w:val="00E355C3"/>
    <w:rsid w:val="00E36FB1"/>
    <w:rsid w:val="00E37A6D"/>
    <w:rsid w:val="00E40C57"/>
    <w:rsid w:val="00E41EA6"/>
    <w:rsid w:val="00E41EB2"/>
    <w:rsid w:val="00E42126"/>
    <w:rsid w:val="00E42629"/>
    <w:rsid w:val="00E42EA9"/>
    <w:rsid w:val="00E46921"/>
    <w:rsid w:val="00E519D4"/>
    <w:rsid w:val="00E5307F"/>
    <w:rsid w:val="00E628EC"/>
    <w:rsid w:val="00E65089"/>
    <w:rsid w:val="00E650A9"/>
    <w:rsid w:val="00E66731"/>
    <w:rsid w:val="00E67147"/>
    <w:rsid w:val="00E67E75"/>
    <w:rsid w:val="00E70F39"/>
    <w:rsid w:val="00E72689"/>
    <w:rsid w:val="00E731BF"/>
    <w:rsid w:val="00E74F3B"/>
    <w:rsid w:val="00E76BED"/>
    <w:rsid w:val="00E76FCB"/>
    <w:rsid w:val="00E7733C"/>
    <w:rsid w:val="00E773C4"/>
    <w:rsid w:val="00E77A3F"/>
    <w:rsid w:val="00E801C6"/>
    <w:rsid w:val="00E80D24"/>
    <w:rsid w:val="00E82192"/>
    <w:rsid w:val="00E836BC"/>
    <w:rsid w:val="00E83C73"/>
    <w:rsid w:val="00E869DA"/>
    <w:rsid w:val="00E87344"/>
    <w:rsid w:val="00E87FD0"/>
    <w:rsid w:val="00E9233E"/>
    <w:rsid w:val="00E93393"/>
    <w:rsid w:val="00E93483"/>
    <w:rsid w:val="00E9365E"/>
    <w:rsid w:val="00E941CF"/>
    <w:rsid w:val="00E95438"/>
    <w:rsid w:val="00E95BAD"/>
    <w:rsid w:val="00EA0DE4"/>
    <w:rsid w:val="00EA4126"/>
    <w:rsid w:val="00EA4A3F"/>
    <w:rsid w:val="00EB5AF3"/>
    <w:rsid w:val="00EB6853"/>
    <w:rsid w:val="00EC2614"/>
    <w:rsid w:val="00EC334E"/>
    <w:rsid w:val="00EC3EAF"/>
    <w:rsid w:val="00EC5A54"/>
    <w:rsid w:val="00EC7B4C"/>
    <w:rsid w:val="00EC7E95"/>
    <w:rsid w:val="00ED04C8"/>
    <w:rsid w:val="00ED06D6"/>
    <w:rsid w:val="00ED1C56"/>
    <w:rsid w:val="00ED29F0"/>
    <w:rsid w:val="00ED413B"/>
    <w:rsid w:val="00ED5077"/>
    <w:rsid w:val="00ED6DF5"/>
    <w:rsid w:val="00ED6FDE"/>
    <w:rsid w:val="00ED74E8"/>
    <w:rsid w:val="00EE1AAD"/>
    <w:rsid w:val="00EE37D5"/>
    <w:rsid w:val="00EE53DC"/>
    <w:rsid w:val="00EE5956"/>
    <w:rsid w:val="00EE772E"/>
    <w:rsid w:val="00EF04B1"/>
    <w:rsid w:val="00EF49E9"/>
    <w:rsid w:val="00EF6564"/>
    <w:rsid w:val="00EF673B"/>
    <w:rsid w:val="00EF6807"/>
    <w:rsid w:val="00EF69C8"/>
    <w:rsid w:val="00F04025"/>
    <w:rsid w:val="00F0493E"/>
    <w:rsid w:val="00F1268F"/>
    <w:rsid w:val="00F13F70"/>
    <w:rsid w:val="00F171E9"/>
    <w:rsid w:val="00F22247"/>
    <w:rsid w:val="00F222C7"/>
    <w:rsid w:val="00F22F65"/>
    <w:rsid w:val="00F232DC"/>
    <w:rsid w:val="00F23A24"/>
    <w:rsid w:val="00F25F05"/>
    <w:rsid w:val="00F26E57"/>
    <w:rsid w:val="00F2776E"/>
    <w:rsid w:val="00F30966"/>
    <w:rsid w:val="00F30FFF"/>
    <w:rsid w:val="00F317F8"/>
    <w:rsid w:val="00F32D1A"/>
    <w:rsid w:val="00F34780"/>
    <w:rsid w:val="00F3719F"/>
    <w:rsid w:val="00F4102C"/>
    <w:rsid w:val="00F416F6"/>
    <w:rsid w:val="00F421C2"/>
    <w:rsid w:val="00F4240B"/>
    <w:rsid w:val="00F4355C"/>
    <w:rsid w:val="00F45FB1"/>
    <w:rsid w:val="00F50007"/>
    <w:rsid w:val="00F5005D"/>
    <w:rsid w:val="00F52886"/>
    <w:rsid w:val="00F52BE6"/>
    <w:rsid w:val="00F611D4"/>
    <w:rsid w:val="00F62B2B"/>
    <w:rsid w:val="00F62D85"/>
    <w:rsid w:val="00F63399"/>
    <w:rsid w:val="00F64282"/>
    <w:rsid w:val="00F6492E"/>
    <w:rsid w:val="00F64C50"/>
    <w:rsid w:val="00F65565"/>
    <w:rsid w:val="00F6574B"/>
    <w:rsid w:val="00F6748B"/>
    <w:rsid w:val="00F72A8C"/>
    <w:rsid w:val="00F7358B"/>
    <w:rsid w:val="00F76E1E"/>
    <w:rsid w:val="00F7718D"/>
    <w:rsid w:val="00F8746E"/>
    <w:rsid w:val="00F87AD0"/>
    <w:rsid w:val="00F94B92"/>
    <w:rsid w:val="00F96E97"/>
    <w:rsid w:val="00F97EF3"/>
    <w:rsid w:val="00FA2CCC"/>
    <w:rsid w:val="00FA40A8"/>
    <w:rsid w:val="00FA5162"/>
    <w:rsid w:val="00FB0DA1"/>
    <w:rsid w:val="00FB1BB8"/>
    <w:rsid w:val="00FB20BF"/>
    <w:rsid w:val="00FB52E2"/>
    <w:rsid w:val="00FB5D54"/>
    <w:rsid w:val="00FB69C9"/>
    <w:rsid w:val="00FB770D"/>
    <w:rsid w:val="00FC0775"/>
    <w:rsid w:val="00FC23A1"/>
    <w:rsid w:val="00FC6489"/>
    <w:rsid w:val="00FD06A0"/>
    <w:rsid w:val="00FD1DE4"/>
    <w:rsid w:val="00FD4236"/>
    <w:rsid w:val="00FD4D2D"/>
    <w:rsid w:val="00FD6FA5"/>
    <w:rsid w:val="00FE0D03"/>
    <w:rsid w:val="00FE29F8"/>
    <w:rsid w:val="00FE37F7"/>
    <w:rsid w:val="00FE3B4D"/>
    <w:rsid w:val="00FE58DB"/>
    <w:rsid w:val="00FF20F1"/>
    <w:rsid w:val="00FF246B"/>
    <w:rsid w:val="00FF357B"/>
    <w:rsid w:val="00FF3D12"/>
    <w:rsid w:val="00FF3D9C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5B64"/>
  <w15:docId w15:val="{5A6AB7DC-C16B-44D8-8991-5C96D288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236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E355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355C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94232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640021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semiHidden/>
    <w:rsid w:val="00494232"/>
    <w:rPr>
      <w:rFonts w:ascii="Arial" w:eastAsia="Times New Roman" w:hAnsi="Arial" w:cs="Arial"/>
      <w:b/>
      <w:bCs/>
      <w:szCs w:val="24"/>
    </w:rPr>
  </w:style>
  <w:style w:type="character" w:styleId="Tekstrezerviranogmjesta">
    <w:name w:val="Placeholder Text"/>
    <w:basedOn w:val="Zadanifontodlomka"/>
    <w:uiPriority w:val="99"/>
    <w:semiHidden/>
    <w:rsid w:val="001469DC"/>
    <w:rPr>
      <w:color w:val="808080"/>
    </w:rPr>
  </w:style>
  <w:style w:type="paragraph" w:styleId="Tekstbalonia">
    <w:name w:val="Balloon Text"/>
    <w:basedOn w:val="Normal"/>
    <w:link w:val="TekstbaloniaChar"/>
    <w:unhideWhenUsed/>
    <w:rsid w:val="0014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469D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9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970424"/>
  </w:style>
  <w:style w:type="paragraph" w:styleId="Podnoje">
    <w:name w:val="footer"/>
    <w:basedOn w:val="Normal"/>
    <w:link w:val="PodnojeChar"/>
    <w:uiPriority w:val="99"/>
    <w:unhideWhenUsed/>
    <w:rsid w:val="009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0424"/>
  </w:style>
  <w:style w:type="paragraph" w:styleId="Tijeloteksta">
    <w:name w:val="Body Text"/>
    <w:basedOn w:val="Normal"/>
    <w:link w:val="TijelotekstaChar"/>
    <w:uiPriority w:val="99"/>
    <w:unhideWhenUsed/>
    <w:rsid w:val="002335D6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335D6"/>
    <w:rPr>
      <w:rFonts w:ascii="Arial" w:eastAsia="Times New Roman" w:hAnsi="Arial" w:cs="Arial"/>
      <w:szCs w:val="24"/>
    </w:rPr>
  </w:style>
  <w:style w:type="character" w:customStyle="1" w:styleId="Naslov1Char">
    <w:name w:val="Naslov 1 Char"/>
    <w:basedOn w:val="Zadanifontodlomka"/>
    <w:link w:val="Naslov1"/>
    <w:rsid w:val="0023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2">
    <w:name w:val="Body Text 2"/>
    <w:basedOn w:val="Normal"/>
    <w:link w:val="Tijeloteksta2Char"/>
    <w:uiPriority w:val="99"/>
    <w:unhideWhenUsed/>
    <w:rsid w:val="00236D8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236D87"/>
  </w:style>
  <w:style w:type="paragraph" w:styleId="Bezproreda">
    <w:name w:val="No Spacing"/>
    <w:link w:val="BezproredaChar"/>
    <w:uiPriority w:val="1"/>
    <w:qFormat/>
    <w:rsid w:val="00236D8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3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osjenanje1">
    <w:name w:val="Svijetlo sjenčanje1"/>
    <w:basedOn w:val="Obinatablica"/>
    <w:uiPriority w:val="60"/>
    <w:rsid w:val="00236D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ijetlosjenanje-Isticanje11">
    <w:name w:val="Svijetlo sjenčanje - Isticanje 11"/>
    <w:basedOn w:val="Obinatablica"/>
    <w:uiPriority w:val="60"/>
    <w:rsid w:val="00236D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236D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5">
    <w:name w:val="Light Shading Accent 5"/>
    <w:basedOn w:val="Obinatablica"/>
    <w:uiPriority w:val="60"/>
    <w:rsid w:val="00236D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4">
    <w:name w:val="Light Shading Accent 4"/>
    <w:basedOn w:val="Obinatablica"/>
    <w:uiPriority w:val="60"/>
    <w:rsid w:val="00236D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rednjareetka2-Isticanje2">
    <w:name w:val="Medium Grid 2 Accent 2"/>
    <w:basedOn w:val="Obinatablica"/>
    <w:uiPriority w:val="68"/>
    <w:rsid w:val="00236D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1-Isticanje6">
    <w:name w:val="Medium Grid 1 Accent 6"/>
    <w:basedOn w:val="Obinatablica"/>
    <w:uiPriority w:val="67"/>
    <w:rsid w:val="00622EF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vijetlosjenanje">
    <w:name w:val="Light Shading"/>
    <w:basedOn w:val="Obinatablica"/>
    <w:uiPriority w:val="60"/>
    <w:rsid w:val="00AE05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AE05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rednjesjenanje2-Isticanje3">
    <w:name w:val="Medium Shading 2 Accent 3"/>
    <w:basedOn w:val="Obinatablica"/>
    <w:uiPriority w:val="64"/>
    <w:rsid w:val="00E3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ipopis-Isticanje1">
    <w:name w:val="Light List Accent 1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">
    <w:name w:val="Light List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rednjareetka-Isticanje6">
    <w:name w:val="Light Grid Accent 6"/>
    <w:basedOn w:val="Obinatablica"/>
    <w:uiPriority w:val="62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ijetlipopis-Isticanje5">
    <w:name w:val="Light List Accent 5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ijetlipopis-Isticanje4">
    <w:name w:val="Light List Accent 4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3">
    <w:name w:val="Light List Accent 3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Naslov2Char">
    <w:name w:val="Naslov 2 Char"/>
    <w:basedOn w:val="Zadanifontodlomka"/>
    <w:link w:val="Naslov2"/>
    <w:rsid w:val="00E355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E355C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Naglaeno">
    <w:name w:val="Strong"/>
    <w:basedOn w:val="Zadanifontodlomka"/>
    <w:uiPriority w:val="22"/>
    <w:qFormat/>
    <w:rsid w:val="00E355C3"/>
    <w:rPr>
      <w:b/>
      <w:bCs/>
    </w:rPr>
  </w:style>
  <w:style w:type="character" w:styleId="Istaknuto">
    <w:name w:val="Emphasis"/>
    <w:basedOn w:val="Zadanifontodlomka"/>
    <w:uiPriority w:val="20"/>
    <w:qFormat/>
    <w:rsid w:val="00E355C3"/>
    <w:rPr>
      <w:i/>
      <w:iCs/>
    </w:rPr>
  </w:style>
  <w:style w:type="paragraph" w:styleId="StandardWeb">
    <w:name w:val="Normal (Web)"/>
    <w:basedOn w:val="Normal"/>
    <w:uiPriority w:val="99"/>
    <w:unhideWhenUsed/>
    <w:rsid w:val="00E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rsid w:val="00E355C3"/>
    <w:rPr>
      <w:color w:val="0000FF"/>
      <w:u w:val="single"/>
    </w:rPr>
  </w:style>
  <w:style w:type="paragraph" w:styleId="Datum">
    <w:name w:val="Date"/>
    <w:basedOn w:val="Normal"/>
    <w:next w:val="Normal"/>
    <w:link w:val="DatumChar"/>
    <w:rsid w:val="00E3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umChar">
    <w:name w:val="Datum Char"/>
    <w:basedOn w:val="Zadanifontodlomka"/>
    <w:link w:val="Datum"/>
    <w:rsid w:val="00E355C3"/>
    <w:rPr>
      <w:rFonts w:ascii="Times New Roman" w:eastAsia="Times New Roman" w:hAnsi="Times New Roman" w:cs="Times New Roman"/>
      <w:sz w:val="24"/>
      <w:szCs w:val="24"/>
    </w:rPr>
  </w:style>
  <w:style w:type="character" w:customStyle="1" w:styleId="ft">
    <w:name w:val="ft"/>
    <w:basedOn w:val="Zadanifontodlomka"/>
    <w:uiPriority w:val="99"/>
    <w:rsid w:val="00E355C3"/>
  </w:style>
  <w:style w:type="character" w:customStyle="1" w:styleId="apple-style-span">
    <w:name w:val="apple-style-span"/>
    <w:basedOn w:val="Zadanifontodlomka"/>
    <w:rsid w:val="00E355C3"/>
  </w:style>
  <w:style w:type="paragraph" w:customStyle="1" w:styleId="Default">
    <w:name w:val="Default"/>
    <w:rsid w:val="00E35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E355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val="en-GB"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E355C3"/>
    <w:rPr>
      <w:rFonts w:ascii="Times New Roman" w:eastAsia="Times New Roman" w:hAnsi="Times New Roman" w:cs="Times New Roman"/>
      <w:snapToGrid w:val="0"/>
      <w:color w:val="000000"/>
      <w:szCs w:val="20"/>
      <w:lang w:val="en-GB" w:eastAsia="en-US"/>
    </w:rPr>
  </w:style>
  <w:style w:type="paragraph" w:customStyle="1" w:styleId="T-98-2">
    <w:name w:val="T-9/8-2"/>
    <w:rsid w:val="00E355C3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</w:rPr>
  </w:style>
  <w:style w:type="paragraph" w:customStyle="1" w:styleId="text">
    <w:name w:val="text"/>
    <w:basedOn w:val="Normal"/>
    <w:rsid w:val="00E355C3"/>
    <w:pPr>
      <w:spacing w:before="75" w:after="225" w:line="240" w:lineRule="auto"/>
      <w:ind w:left="150" w:right="150"/>
      <w:jc w:val="both"/>
    </w:pPr>
    <w:rPr>
      <w:rFonts w:ascii="Verdana" w:eastAsia="Times New Roman" w:hAnsi="Verdana" w:cs="Times New Roman"/>
      <w:color w:val="000000"/>
      <w:sz w:val="15"/>
      <w:szCs w:val="1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55C3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55C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Neupadljivareferenca">
    <w:name w:val="Subtle Reference"/>
    <w:basedOn w:val="Zadanifontodlomka"/>
    <w:uiPriority w:val="31"/>
    <w:qFormat/>
    <w:rsid w:val="00E355C3"/>
    <w:rPr>
      <w:smallCaps/>
      <w:color w:val="C0504D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E355C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E355C3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Istaknutareferenca">
    <w:name w:val="Intense Reference"/>
    <w:basedOn w:val="Zadanifontodlomka"/>
    <w:uiPriority w:val="32"/>
    <w:qFormat/>
    <w:rsid w:val="00E355C3"/>
    <w:rPr>
      <w:b/>
      <w:bCs/>
      <w:smallCaps/>
      <w:color w:val="C0504D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E355C3"/>
    <w:rPr>
      <w:b/>
      <w:bCs/>
      <w:smallCaps/>
      <w:spacing w:val="5"/>
    </w:rPr>
  </w:style>
  <w:style w:type="character" w:styleId="Jakoisticanje">
    <w:name w:val="Intense Emphasis"/>
    <w:basedOn w:val="Zadanifontodlomka"/>
    <w:uiPriority w:val="21"/>
    <w:qFormat/>
    <w:rsid w:val="00E355C3"/>
    <w:rPr>
      <w:b/>
      <w:bCs/>
      <w:i/>
      <w:iCs/>
      <w:color w:val="4F81BD"/>
    </w:rPr>
  </w:style>
  <w:style w:type="paragraph" w:styleId="Naslov">
    <w:name w:val="Title"/>
    <w:basedOn w:val="Normal"/>
    <w:next w:val="Normal"/>
    <w:link w:val="NaslovChar"/>
    <w:qFormat/>
    <w:rsid w:val="00E355C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E355C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ezproreda1">
    <w:name w:val="Bez proreda1"/>
    <w:rsid w:val="00E355C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Zadanifontodlomka"/>
    <w:rsid w:val="00E355C3"/>
  </w:style>
  <w:style w:type="paragraph" w:customStyle="1" w:styleId="Odlomakpopisa1">
    <w:name w:val="Odlomak popisa1"/>
    <w:basedOn w:val="Normal"/>
    <w:uiPriority w:val="99"/>
    <w:rsid w:val="00E355C3"/>
    <w:pPr>
      <w:ind w:left="720"/>
    </w:pPr>
    <w:rPr>
      <w:rFonts w:ascii="Calibri" w:eastAsia="Calibri" w:hAnsi="Calibri" w:cs="Times New Roman"/>
    </w:rPr>
  </w:style>
  <w:style w:type="character" w:customStyle="1" w:styleId="st">
    <w:name w:val="st"/>
    <w:basedOn w:val="Zadanifontodlomka"/>
    <w:rsid w:val="00E355C3"/>
  </w:style>
  <w:style w:type="paragraph" w:customStyle="1" w:styleId="clanak">
    <w:name w:val="clanak"/>
    <w:basedOn w:val="Normal"/>
    <w:rsid w:val="00E355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E355C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E355C3"/>
    <w:rPr>
      <w:rFonts w:ascii="Calibri" w:eastAsiaTheme="minorHAnsi" w:hAnsi="Calibri"/>
      <w:szCs w:val="21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E355C3"/>
  </w:style>
  <w:style w:type="paragraph" w:customStyle="1" w:styleId="GrayText">
    <w:name w:val="GrayText"/>
    <w:basedOn w:val="Normal"/>
    <w:rsid w:val="00E355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C0C0C0"/>
    </w:rPr>
  </w:style>
  <w:style w:type="character" w:customStyle="1" w:styleId="BezproredaChar">
    <w:name w:val="Bez proreda Char"/>
    <w:link w:val="Bezproreda"/>
    <w:uiPriority w:val="1"/>
    <w:locked/>
    <w:rsid w:val="00E355C3"/>
  </w:style>
  <w:style w:type="paragraph" w:customStyle="1" w:styleId="v1msonormal">
    <w:name w:val="v1msonormal"/>
    <w:basedOn w:val="Normal"/>
    <w:rsid w:val="00E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icareetke2-isticanje3">
    <w:name w:val="Grid Table 2 Accent 3"/>
    <w:basedOn w:val="Obinatablica"/>
    <w:uiPriority w:val="47"/>
    <w:rsid w:val="00FB1BB8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mnatablicareetke5-isticanje4">
    <w:name w:val="Grid Table 5 Dark Accent 4"/>
    <w:basedOn w:val="Obinatablica"/>
    <w:uiPriority w:val="50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icapopisa2-isticanje5">
    <w:name w:val="List Table 2 Accent 5"/>
    <w:basedOn w:val="Obinatablica"/>
    <w:uiPriority w:val="47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3-isticanje5">
    <w:name w:val="List Table 3 Accent 5"/>
    <w:basedOn w:val="Obinatablica"/>
    <w:uiPriority w:val="48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Svijetlatablicareetke1-isticanje4">
    <w:name w:val="Grid Table 1 Light Accent 4"/>
    <w:basedOn w:val="Obinatablica"/>
    <w:uiPriority w:val="46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3-isticanje3">
    <w:name w:val="Grid Table 3 Accent 3"/>
    <w:basedOn w:val="Obinatablica"/>
    <w:uiPriority w:val="48"/>
    <w:rsid w:val="00FC077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3CA-424A-AEBF-5FB2688056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3CA-424A-AEBF-5FB2688056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3CA-424A-AEBF-5FB2688056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3CA-424A-AEBF-5FB2688056B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3CA-424A-AEBF-5FB2688056B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List1!$B$3:$B$7</c:f>
              <c:strCache>
                <c:ptCount val="5"/>
                <c:pt idx="0">
                  <c:v>Porez na dohodak</c:v>
                </c:pt>
                <c:pt idx="1">
                  <c:v>Poretz na kuće za odmor</c:v>
                </c:pt>
                <c:pt idx="2">
                  <c:v>Porez na korišt. jav.povr.</c:v>
                </c:pt>
                <c:pt idx="3">
                  <c:v>Porez na promet nekretnina</c:v>
                </c:pt>
                <c:pt idx="4">
                  <c:v>Porez na potrošnju</c:v>
                </c:pt>
              </c:strCache>
            </c:strRef>
          </c:cat>
          <c:val>
            <c:numRef>
              <c:f>List1!$C$3:$C$7</c:f>
              <c:numCache>
                <c:formatCode>#,##0</c:formatCode>
                <c:ptCount val="5"/>
                <c:pt idx="0">
                  <c:v>6472780</c:v>
                </c:pt>
                <c:pt idx="1">
                  <c:v>625573</c:v>
                </c:pt>
                <c:pt idx="2">
                  <c:v>266699</c:v>
                </c:pt>
                <c:pt idx="3">
                  <c:v>1394981</c:v>
                </c:pt>
                <c:pt idx="4">
                  <c:v>157210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3CA-424A-AEBF-5FB2688056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0.14856973976976476"/>
          <c:w val="0.93888888888888888"/>
          <c:h val="0.794116470326090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List1!$B$15</c:f>
              <c:strCache>
                <c:ptCount val="1"/>
                <c:pt idx="0">
                  <c:v>Prihodi od financijske imovine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List1!$C$14:$D$14</c:f>
              <c:strCache>
                <c:ptCount val="2"/>
                <c:pt idx="0">
                  <c:v>I.-VI.2023.</c:v>
                </c:pt>
                <c:pt idx="1">
                  <c:v>I.-VI.2024.</c:v>
                </c:pt>
              </c:strCache>
            </c:strRef>
          </c:cat>
          <c:val>
            <c:numRef>
              <c:f>List1!$C$15:$D$15</c:f>
              <c:numCache>
                <c:formatCode>#,##0</c:formatCode>
                <c:ptCount val="2"/>
                <c:pt idx="0">
                  <c:v>80280</c:v>
                </c:pt>
                <c:pt idx="1">
                  <c:v>137408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AC-4BBB-AAC2-82760593EF8A}"/>
            </c:ext>
          </c:extLst>
        </c:ser>
        <c:ser>
          <c:idx val="1"/>
          <c:order val="1"/>
          <c:tx>
            <c:strRef>
              <c:f>List1!$B$16</c:f>
              <c:strCache>
                <c:ptCount val="1"/>
                <c:pt idx="0">
                  <c:v>Prihodi od nefinanc. imovine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List1!$C$14:$D$14</c:f>
              <c:strCache>
                <c:ptCount val="2"/>
                <c:pt idx="0">
                  <c:v>I.-VI.2023.</c:v>
                </c:pt>
                <c:pt idx="1">
                  <c:v>I.-VI.2024.</c:v>
                </c:pt>
              </c:strCache>
            </c:strRef>
          </c:cat>
          <c:val>
            <c:numRef>
              <c:f>List1!$C$16:$D$16</c:f>
              <c:numCache>
                <c:formatCode>#,##0</c:formatCode>
                <c:ptCount val="2"/>
                <c:pt idx="0">
                  <c:v>391217</c:v>
                </c:pt>
                <c:pt idx="1">
                  <c:v>303214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AC-4BBB-AAC2-82760593EF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0867583"/>
        <c:axId val="110871743"/>
      </c:barChart>
      <c:catAx>
        <c:axId val="1108675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10871743"/>
        <c:crosses val="autoZero"/>
        <c:auto val="1"/>
        <c:lblAlgn val="ctr"/>
        <c:lblOffset val="100"/>
        <c:noMultiLvlLbl val="0"/>
      </c:catAx>
      <c:valAx>
        <c:axId val="110871743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10867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7.6166903718040829E-2"/>
          <c:y val="2.2253132595670216E-2"/>
          <c:w val="0.85263205227838146"/>
          <c:h val="6.69749202523073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577464788732394"/>
          <c:y val="0.20270499744578907"/>
          <c:w val="0.69718309859154926"/>
          <c:h val="0.475458789127869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762-414E-B89A-C04DBD50FC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762-414E-B89A-C04DBD50FC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762-414E-B89A-C04DBD50FC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762-414E-B89A-C04DBD50FC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762-414E-B89A-C04DBD50FC9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762-414E-B89A-C04DBD50FC9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762-414E-B89A-C04DBD50FC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List1!$B$40:$B$46</c:f>
              <c:strCache>
                <c:ptCount val="7"/>
                <c:pt idx="0">
                  <c:v>I. Upravni odjel za opću upravu </c:v>
                </c:pt>
                <c:pt idx="1">
                  <c:v>II. Upravni odjel za financije</c:v>
                </c:pt>
                <c:pt idx="2">
                  <c:v>III. Upravni odjel za društvene djelatnosti</c:v>
                </c:pt>
                <c:pt idx="3">
                  <c:v>IV. Upravni odjel za gospodarstvo i EU fondove</c:v>
                </c:pt>
                <c:pt idx="4">
                  <c:v>V. Upravni odjel za komunalni sustav</c:v>
                </c:pt>
                <c:pt idx="5">
                  <c:v>VI. Upravni odjel za prostorno planiranje i zaštitu okoliša</c:v>
                </c:pt>
                <c:pt idx="6">
                  <c:v>VII. Upravni odjel za prostorno uređenje i gradnju</c:v>
                </c:pt>
              </c:strCache>
            </c:strRef>
          </c:cat>
          <c:val>
            <c:numRef>
              <c:f>List1!$C$40:$C$46</c:f>
              <c:numCache>
                <c:formatCode>#,##0</c:formatCode>
                <c:ptCount val="7"/>
                <c:pt idx="0">
                  <c:v>1761340</c:v>
                </c:pt>
                <c:pt idx="1">
                  <c:v>804160</c:v>
                </c:pt>
                <c:pt idx="2">
                  <c:v>11643517</c:v>
                </c:pt>
                <c:pt idx="3">
                  <c:v>294798</c:v>
                </c:pt>
                <c:pt idx="4">
                  <c:v>2968700</c:v>
                </c:pt>
                <c:pt idx="5">
                  <c:v>1011594</c:v>
                </c:pt>
                <c:pt idx="6">
                  <c:v>66112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762-414E-B89A-C04DBD50FC9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4712643678160919E-2"/>
          <c:y val="0.16964004499437571"/>
          <c:w val="0.33754178658702144"/>
          <c:h val="0.6908923884514435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9DA4-F210-4BF0-84FA-7C5BD344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4205</Words>
  <Characters>23973</Characters>
  <Application>Microsoft Office Word</Application>
  <DocSecurity>0</DocSecurity>
  <Lines>199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Krištofić Brenčić</dc:creator>
  <cp:lastModifiedBy>Maja Šimonović Cvitko</cp:lastModifiedBy>
  <cp:revision>2</cp:revision>
  <cp:lastPrinted>2024-08-07T08:30:00Z</cp:lastPrinted>
  <dcterms:created xsi:type="dcterms:W3CDTF">2024-08-27T06:18:00Z</dcterms:created>
  <dcterms:modified xsi:type="dcterms:W3CDTF">2024-08-27T06:18:00Z</dcterms:modified>
</cp:coreProperties>
</file>